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FF4" w:rsidRPr="00062E93" w:rsidRDefault="00347FF4" w:rsidP="00347FF4">
      <w:pPr>
        <w:rPr>
          <w:rFonts w:ascii="Book Antiqua" w:hAnsi="Book Antiqua"/>
          <w:b/>
          <w:sz w:val="28"/>
          <w:szCs w:val="28"/>
        </w:rPr>
      </w:pPr>
      <w:bookmarkStart w:id="0" w:name="_GoBack"/>
      <w:bookmarkEnd w:id="0"/>
      <w:r w:rsidRPr="00062E93">
        <w:rPr>
          <w:rFonts w:ascii="Book Antiqua" w:hAnsi="Book Antiqua"/>
          <w:b/>
          <w:sz w:val="28"/>
          <w:szCs w:val="28"/>
          <w:lang w:val="en-US"/>
        </w:rPr>
        <w:t xml:space="preserve"> </w:t>
      </w:r>
      <w:r w:rsidRPr="00062E93">
        <w:rPr>
          <w:rFonts w:ascii="Book Antiqua" w:hAnsi="Book Antiqua"/>
          <w:b/>
          <w:sz w:val="28"/>
          <w:szCs w:val="28"/>
        </w:rPr>
        <w:t xml:space="preserve">  </w:t>
      </w:r>
      <w:r w:rsidRPr="00062E93">
        <w:rPr>
          <w:rFonts w:ascii="Book Antiqua" w:hAnsi="Book Antiqua"/>
          <w:b/>
          <w:sz w:val="28"/>
          <w:szCs w:val="28"/>
          <w:lang w:val="en-US"/>
        </w:rPr>
        <w:t xml:space="preserve"> </w:t>
      </w:r>
      <w:r w:rsidRPr="00062E93">
        <w:rPr>
          <w:rFonts w:ascii="Book Antiqua" w:hAnsi="Book Antiqua"/>
          <w:b/>
          <w:sz w:val="28"/>
          <w:szCs w:val="28"/>
        </w:rPr>
        <w:t xml:space="preserve">        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                                    </w:t>
      </w:r>
      <w:r w:rsidRPr="00062E93">
        <w:rPr>
          <w:rFonts w:ascii="Book Antiqua" w:hAnsi="Book Antiqua"/>
          <w:b/>
          <w:sz w:val="28"/>
          <w:szCs w:val="28"/>
        </w:rPr>
        <w:t xml:space="preserve">  ДО  ПРЕДСЕДАТЕЛЯ</w:t>
      </w:r>
    </w:p>
    <w:p w:rsidR="00347FF4" w:rsidRPr="00062E93" w:rsidRDefault="00347FF4" w:rsidP="00347FF4">
      <w:pPr>
        <w:rPr>
          <w:rFonts w:ascii="Book Antiqua" w:hAnsi="Book Antiqua"/>
          <w:b/>
          <w:sz w:val="28"/>
          <w:szCs w:val="28"/>
          <w:lang w:val="en-US"/>
        </w:rPr>
      </w:pPr>
      <w:r w:rsidRPr="00062E93">
        <w:rPr>
          <w:rFonts w:ascii="Book Antiqua" w:hAnsi="Book Antiqua"/>
          <w:b/>
          <w:sz w:val="28"/>
          <w:szCs w:val="28"/>
        </w:rPr>
        <w:t xml:space="preserve">                                                      на ОБЩИНСКИ  СЪВЕТ - БУРГАС</w:t>
      </w:r>
    </w:p>
    <w:p w:rsidR="00347FF4" w:rsidRPr="00062E93" w:rsidRDefault="00347FF4" w:rsidP="00347FF4">
      <w:pPr>
        <w:rPr>
          <w:rFonts w:ascii="Book Antiqua" w:hAnsi="Book Antiqua"/>
          <w:sz w:val="28"/>
          <w:szCs w:val="28"/>
          <w:lang w:val="en-US"/>
        </w:rPr>
      </w:pPr>
    </w:p>
    <w:p w:rsidR="00BF637B" w:rsidRPr="005D0BB4" w:rsidRDefault="00BF637B" w:rsidP="00E36C17">
      <w:pPr>
        <w:rPr>
          <w:rFonts w:ascii="Book Antiqua" w:hAnsi="Book Antiqua"/>
          <w:b/>
          <w:sz w:val="36"/>
          <w:szCs w:val="36"/>
        </w:rPr>
      </w:pPr>
    </w:p>
    <w:p w:rsidR="00347FF4" w:rsidRPr="005D0BB4" w:rsidRDefault="003217A6" w:rsidP="001E7004">
      <w:pPr>
        <w:jc w:val="center"/>
        <w:rPr>
          <w:rFonts w:ascii="Book Antiqua" w:hAnsi="Book Antiqua"/>
          <w:b/>
          <w:sz w:val="36"/>
          <w:szCs w:val="36"/>
        </w:rPr>
      </w:pPr>
      <w:r>
        <w:rPr>
          <w:rFonts w:ascii="Book Antiqua" w:hAnsi="Book Antiqua"/>
          <w:b/>
          <w:sz w:val="36"/>
          <w:szCs w:val="36"/>
        </w:rPr>
        <w:t>ПРОЕКТ ЗА РЕШЕНИЕ</w:t>
      </w:r>
    </w:p>
    <w:p w:rsidR="007A4D34" w:rsidRPr="007A4D34" w:rsidRDefault="00347FF4" w:rsidP="001E7004">
      <w:pPr>
        <w:jc w:val="center"/>
        <w:rPr>
          <w:rFonts w:ascii="Book Antiqua" w:hAnsi="Book Antiqua" w:cs="Helvetica"/>
          <w:sz w:val="28"/>
          <w:szCs w:val="28"/>
          <w:lang w:val="en-US"/>
        </w:rPr>
      </w:pPr>
      <w:r w:rsidRPr="005D0BB4">
        <w:rPr>
          <w:rFonts w:ascii="Book Antiqua" w:hAnsi="Book Antiqua"/>
          <w:sz w:val="28"/>
          <w:szCs w:val="28"/>
        </w:rPr>
        <w:t xml:space="preserve">от </w:t>
      </w:r>
      <w:r w:rsidR="00552129" w:rsidRPr="006623F6">
        <w:rPr>
          <w:rFonts w:ascii="Book Antiqua" w:hAnsi="Book Antiqua"/>
          <w:sz w:val="28"/>
          <w:szCs w:val="28"/>
          <w:u w:val="single"/>
        </w:rPr>
        <w:t xml:space="preserve"> </w:t>
      </w:r>
      <w:r w:rsidR="005835C9" w:rsidRPr="006623F6">
        <w:rPr>
          <w:rFonts w:ascii="Book Antiqua" w:hAnsi="Book Antiqua"/>
          <w:sz w:val="28"/>
          <w:szCs w:val="28"/>
          <w:u w:val="single"/>
        </w:rPr>
        <w:t>Красимир Калудов</w:t>
      </w:r>
      <w:r w:rsidR="003217A6" w:rsidRPr="006623F6">
        <w:rPr>
          <w:rFonts w:ascii="Book Antiqua" w:hAnsi="Book Antiqua"/>
          <w:sz w:val="28"/>
          <w:szCs w:val="28"/>
          <w:u w:val="single"/>
        </w:rPr>
        <w:t xml:space="preserve"> и</w:t>
      </w:r>
      <w:r w:rsidR="00552129" w:rsidRPr="006623F6">
        <w:rPr>
          <w:rFonts w:ascii="Book Antiqua" w:hAnsi="Book Antiqua"/>
          <w:sz w:val="28"/>
          <w:szCs w:val="28"/>
          <w:u w:val="single"/>
        </w:rPr>
        <w:t xml:space="preserve"> арх. Дилян Георгиев</w:t>
      </w:r>
      <w:r w:rsidR="0007177B" w:rsidRPr="006623F6">
        <w:rPr>
          <w:rFonts w:ascii="Book Antiqua" w:hAnsi="Book Antiqua"/>
          <w:sz w:val="28"/>
          <w:szCs w:val="28"/>
          <w:u w:val="single"/>
        </w:rPr>
        <w:t xml:space="preserve"> – общински съветници</w:t>
      </w:r>
      <w:r w:rsidRPr="006623F6">
        <w:rPr>
          <w:rFonts w:ascii="Book Antiqua" w:hAnsi="Book Antiqua"/>
          <w:sz w:val="28"/>
          <w:szCs w:val="28"/>
          <w:u w:val="single"/>
        </w:rPr>
        <w:t xml:space="preserve"> </w:t>
      </w:r>
    </w:p>
    <w:p w:rsidR="00081E14" w:rsidRPr="006623F6" w:rsidRDefault="00081E14" w:rsidP="00347FF4">
      <w:pPr>
        <w:jc w:val="center"/>
        <w:rPr>
          <w:rFonts w:ascii="Book Antiqua" w:hAnsi="Book Antiqua" w:cs="Helvetica"/>
          <w:sz w:val="28"/>
          <w:szCs w:val="28"/>
          <w:lang w:val="en-US"/>
        </w:rPr>
      </w:pPr>
      <w:r w:rsidRPr="005D0BB4">
        <w:rPr>
          <w:rFonts w:ascii="Book Antiqua" w:hAnsi="Book Antiqua" w:cs="Helvetica"/>
          <w:b/>
          <w:sz w:val="28"/>
          <w:szCs w:val="28"/>
          <w:u w:val="single"/>
        </w:rPr>
        <w:t>относно:</w:t>
      </w:r>
      <w:r w:rsidRPr="005D0BB4">
        <w:rPr>
          <w:rFonts w:ascii="Book Antiqua" w:hAnsi="Book Antiqua" w:cs="Helvetica"/>
          <w:b/>
          <w:sz w:val="28"/>
          <w:szCs w:val="28"/>
        </w:rPr>
        <w:t xml:space="preserve"> </w:t>
      </w:r>
      <w:r w:rsidR="005835C9" w:rsidRPr="006623F6">
        <w:rPr>
          <w:rFonts w:ascii="Book Antiqua" w:hAnsi="Book Antiqua" w:cs="Helvetica"/>
          <w:i/>
          <w:sz w:val="28"/>
          <w:szCs w:val="28"/>
        </w:rPr>
        <w:t>Възстановяване на хоризонталната маркировка и сигнализацията на лентата за обществен превоз (буслентата) в района на кръстовището на бул. „Сан Стефано" и бул. „Стефан Стамболов"</w:t>
      </w:r>
    </w:p>
    <w:p w:rsidR="006623F6" w:rsidRPr="006623F6" w:rsidRDefault="006623F6" w:rsidP="00662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23F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УВАЖАЕМИ ГОСПОДИН ПРЕДСЕДАТЕЛ,</w:t>
      </w:r>
      <w:r w:rsidRPr="006623F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6623F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УВАЖАЕМИ ОБЩИНСКИ СЪВЕТНИЦИ,</w:t>
      </w:r>
    </w:p>
    <w:p w:rsidR="006623F6" w:rsidRPr="006623F6" w:rsidRDefault="006623F6" w:rsidP="00662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23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проекта за интегриран градски транспорт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Pr="006623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Община Бургас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Pr="006623F6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изград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ен</w:t>
      </w:r>
      <w:r w:rsidRPr="006623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коридор за бързите автобусни линии Б1 и Б2. Коридорът преминава по бул. „Стефан Стамболов" и бул. „Сан Стефано" до Централната автобусна спирка. Обособените ленти за обществен превоз са основна част от тази инфраструктура. Те осигуряват бързина, редовност и предвидимост на градския транспорт в най-натоварената част на града.</w:t>
      </w:r>
    </w:p>
    <w:p w:rsidR="006623F6" w:rsidRPr="006623F6" w:rsidRDefault="006623F6" w:rsidP="00662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23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Към момента хоризонталната маркировка в района на кръстовището на бул. „Сан Стефано" и бул. „Стефан Стамболов" е силно изтъркана и на места почти не се вижда. Проблемът е най-изразен в завоя за обществен превоз от бул. „Стефан Стамболов" към бул. „Сан Стефано" и в началния участък на буслентата по бул. „Сан Стефано" в посока Централна автобусна спирка (Приложение 1). Поради изтритата маркировка водачите на леки автомобили не възприемат завоя като лента само за автобуси 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има не малко случай в които го припознават </w:t>
      </w:r>
      <w:r w:rsidRPr="006623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десен завой. Така създават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излишни ситуации за налагане на глоби, дори и на съвестни шофьори.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6623F6">
        <w:rPr>
          <w:rFonts w:ascii="Times New Roman" w:eastAsia="Times New Roman" w:hAnsi="Times New Roman" w:cs="Times New Roman"/>
          <w:sz w:val="24"/>
          <w:szCs w:val="24"/>
          <w:lang w:eastAsia="bg-BG"/>
        </w:rPr>
        <w:t>Това води до следните проблеми:</w:t>
      </w:r>
    </w:p>
    <w:p w:rsidR="006623F6" w:rsidRPr="006623F6" w:rsidRDefault="006623F6" w:rsidP="006623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23F6">
        <w:rPr>
          <w:rFonts w:ascii="Times New Roman" w:eastAsia="Times New Roman" w:hAnsi="Times New Roman" w:cs="Times New Roman"/>
          <w:sz w:val="24"/>
          <w:szCs w:val="24"/>
          <w:lang w:eastAsia="bg-BG"/>
        </w:rPr>
        <w:t>по-голям риск от пътнотранспортни произшествия при престрояване и при навлизане на автобусите в спирките;</w:t>
      </w:r>
    </w:p>
    <w:p w:rsidR="006623F6" w:rsidRPr="006623F6" w:rsidRDefault="006623F6" w:rsidP="006623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23F6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обезсмисляне на публичния ресурс, вложен в изграждането на коридора;</w:t>
      </w:r>
    </w:p>
    <w:p w:rsidR="00B9104B" w:rsidRDefault="006623F6" w:rsidP="00B9104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23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неясна маркировка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води до подвеждане на гости  на града и тяхното санкциониране от органите</w:t>
      </w:r>
      <w:r w:rsidRPr="006623F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B9104B" w:rsidRPr="00B9104B" w:rsidRDefault="00B9104B" w:rsidP="00B9104B">
      <w:pPr>
        <w:spacing w:before="100" w:beforeAutospacing="1" w:after="100" w:afterAutospacing="1" w:line="240" w:lineRule="auto"/>
        <w:ind w:left="360"/>
      </w:pPr>
      <w:r>
        <w:t xml:space="preserve">Съгласно Наредба № 2 от 2001 г. за сигнализация на пътищата с пътна маркировка лентата за обществен превоз се отделя с единична непрекъсната линия М1 в жълт цвят и се обозначава със символа „BUS“. В сегашното си състояние маркировката в участъка не изпълнява тази функция, защото е компрометирана или липсва. Поддържането й  в изправност е задължение на общината като стопанин на пътя по чл. 3, ал. 1 от Закона за </w:t>
      </w:r>
      <w:r>
        <w:lastRenderedPageBreak/>
        <w:t>движението по пътищата.</w:t>
      </w:r>
      <w:r w:rsidR="00272B77">
        <w:t xml:space="preserve"> </w:t>
      </w:r>
      <w:r>
        <w:t xml:space="preserve">В началото на завоя липсва и ясна вертикална сигнализация. Поставянето на пътен знак Г13 съгласно </w:t>
      </w:r>
      <w:r w:rsidR="00FB5B96" w:rsidRPr="00FB5B96">
        <w:t>Наредба № РД-02-21-1 от 2023</w:t>
      </w:r>
      <w:r>
        <w:t>г. за сигнализация на пътищата с пътни знаци ще направи забраната недвусмислена за водачите и ще позволи ефективен контрол от органите на МВР. Възстановяването на вече изградена инфраструктура изисква минимален ресурс, а ефектът за градския транспорт и безопасността на движението е безспорен .</w:t>
      </w:r>
    </w:p>
    <w:p w:rsidR="00B9104B" w:rsidRPr="00B9104B" w:rsidRDefault="00B9104B" w:rsidP="00B9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910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Финансова обосновка</w:t>
      </w:r>
      <w:r w:rsidR="001B4AE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/прил.2/</w:t>
      </w:r>
    </w:p>
    <w:p w:rsidR="001763D4" w:rsidRPr="001763D4" w:rsidRDefault="001763D4" w:rsidP="001763D4">
      <w:pPr>
        <w:spacing w:after="160" w:line="256" w:lineRule="auto"/>
        <w:rPr>
          <w:rFonts w:ascii="Calibri" w:eastAsia="Calibri" w:hAnsi="Calibri" w:cs="Calibri"/>
          <w:lang w:val="en-US" w:eastAsia="bg-BG"/>
        </w:rPr>
      </w:pPr>
      <w:r w:rsidRPr="001763D4">
        <w:rPr>
          <w:rFonts w:ascii="Calibri" w:eastAsia="Calibri" w:hAnsi="Calibri" w:cs="Calibri"/>
          <w:lang w:val="en-US" w:eastAsia="bg-BG"/>
        </w:rPr>
        <w:t xml:space="preserve">По предварителна оценка стойността на дейностите е до 600 евро с ДДС, включително непредвидени разходи. Материалите за маркировката са остойнени по актуални цени в търговската мрежа). Трудът е </w:t>
      </w:r>
      <w:r>
        <w:rPr>
          <w:rFonts w:ascii="Calibri" w:eastAsia="Calibri" w:hAnsi="Calibri" w:cs="Calibri"/>
          <w:lang w:eastAsia="bg-BG"/>
        </w:rPr>
        <w:t xml:space="preserve">дефиниран </w:t>
      </w:r>
      <w:r w:rsidRPr="001763D4">
        <w:rPr>
          <w:rFonts w:ascii="Calibri" w:eastAsia="Calibri" w:hAnsi="Calibri" w:cs="Calibri"/>
          <w:lang w:val="en-US" w:eastAsia="bg-BG"/>
        </w:rPr>
        <w:t>по елементите на ценообразуване от ценово предложение по обществена поръчка на Община Бургас № 00797-2024-0084 („Реконструкция на ул. „Асен Златаров““, ноември 2024 г.)</w:t>
      </w:r>
    </w:p>
    <w:p w:rsidR="00B9104B" w:rsidRDefault="001763D4" w:rsidP="00176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1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9104B" w:rsidRPr="00B9104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изложеното и на основание чл. 21, ал</w:t>
      </w:r>
      <w:r w:rsidR="00272B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2 във връзка с чл. 21, ал. 1т. 23 </w:t>
      </w:r>
      <w:r w:rsidR="00B9104B" w:rsidRPr="00B91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Закона за местното самоуправление и местната администрация и чл. 3, ал. 1 от Закона за движението по пътищата, предлагам Общинският съвет да вземе следното</w:t>
      </w:r>
    </w:p>
    <w:p w:rsidR="00B9104B" w:rsidRPr="00B9104B" w:rsidRDefault="00B9104B" w:rsidP="00B9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10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1763D4" w:rsidRDefault="006211F4" w:rsidP="00482A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се </w:t>
      </w:r>
      <w:r w:rsidR="00B9104B" w:rsidRPr="00B9104B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възстано</w:t>
      </w:r>
      <w:r w:rsidRPr="001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ви </w:t>
      </w:r>
      <w:r w:rsidR="00B9104B" w:rsidRPr="00B91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хоризонталната маркировка на лентата за обществен превоз в завоя от бул. „Стефан Стамболов“ към бул. „Сан Стефано“ и в началния участък на буслентата по бул. „Сан Стефано“, включително надлъжните линии и символите „BUS“, в съответствие с изискванията на Наредба № 2 от 2001 г. за сигнализация на пътищата с пътна маркировка. </w:t>
      </w:r>
    </w:p>
    <w:p w:rsidR="001763D4" w:rsidRDefault="006211F4" w:rsidP="001763D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се монтира </w:t>
      </w:r>
      <w:r w:rsidR="00B9104B" w:rsidRPr="00B9104B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допълни вертикалната сигнализация в участъка, включително чрез поставяне на пътен знак Г13 „Пътна лента или платно за движение само за превозни средства от редовните линии за обществен превоз на пътници“ в началото на завоя от бул. „Стефан Стамболов“ към бул. „Сан Стефано“.</w:t>
      </w:r>
    </w:p>
    <w:p w:rsidR="001763D4" w:rsidRPr="0046507B" w:rsidRDefault="001763D4" w:rsidP="0046507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63D4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Разходите по т.1 и т.2 в размер до 600 евро</w:t>
      </w:r>
      <w:r w:rsidR="001B4A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</w:t>
      </w:r>
      <w:r w:rsidRPr="00272B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осигуряват със средства по дейност </w:t>
      </w:r>
      <w:r w:rsidR="00272B77" w:rsidRPr="00272B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606 „Изграждане, ремонт и поддържане на уличната мрежа“ </w:t>
      </w:r>
      <w:r w:rsidRPr="00272B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272B77" w:rsidRPr="00272B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раздел VI “Жил.</w:t>
      </w:r>
      <w:r w:rsidR="00272B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72B77" w:rsidRPr="00272B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строителство, БКС, опазване на околната среда” от </w:t>
      </w:r>
      <w:r w:rsidRPr="00272B77">
        <w:rPr>
          <w:rFonts w:ascii="Times New Roman" w:eastAsia="Times New Roman" w:hAnsi="Times New Roman" w:cs="Times New Roman"/>
          <w:sz w:val="24"/>
          <w:szCs w:val="24"/>
          <w:lang w:eastAsia="bg-BG"/>
        </w:rPr>
        <w:t>бюд</w:t>
      </w:r>
      <w:r w:rsidR="0046507B">
        <w:rPr>
          <w:rFonts w:ascii="Times New Roman" w:eastAsia="Times New Roman" w:hAnsi="Times New Roman" w:cs="Times New Roman"/>
          <w:sz w:val="24"/>
          <w:szCs w:val="24"/>
          <w:lang w:eastAsia="bg-BG"/>
        </w:rPr>
        <w:t>жета на Община Бургас за 2026 г</w:t>
      </w:r>
    </w:p>
    <w:p w:rsidR="006623F6" w:rsidRPr="006623F6" w:rsidRDefault="006623F6" w:rsidP="00662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23F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Приложения:</w:t>
      </w:r>
    </w:p>
    <w:p w:rsidR="006623F6" w:rsidRDefault="006623F6" w:rsidP="006623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23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Схема на </w:t>
      </w:r>
      <w:r w:rsidR="00FB5B96" w:rsidRPr="006623F6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участъка. Снимков</w:t>
      </w:r>
      <w:r w:rsidRPr="006623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материал на участъка.</w:t>
      </w:r>
    </w:p>
    <w:p w:rsidR="006211F4" w:rsidRPr="006623F6" w:rsidRDefault="006211F4" w:rsidP="006623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Финансов анализ</w:t>
      </w:r>
    </w:p>
    <w:p w:rsidR="006623F6" w:rsidRPr="006623F6" w:rsidRDefault="006211F4" w:rsidP="00662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 уважение</w:t>
      </w:r>
      <w:r w:rsidR="006623F6" w:rsidRPr="006623F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5D0BB4" w:rsidRPr="005D0BB4" w:rsidRDefault="005D0BB4" w:rsidP="00347FF4">
      <w:pPr>
        <w:jc w:val="center"/>
        <w:rPr>
          <w:rFonts w:ascii="Book Antiqua" w:hAnsi="Book Antiqua"/>
          <w:b/>
          <w:sz w:val="28"/>
          <w:szCs w:val="28"/>
          <w:lang w:val="en-US"/>
        </w:rPr>
      </w:pPr>
    </w:p>
    <w:p w:rsidR="00E36C17" w:rsidRDefault="00E36C17" w:rsidP="00C3741C">
      <w:pPr>
        <w:pStyle w:val="Default"/>
        <w:rPr>
          <w:rFonts w:ascii="Book Antiqua" w:hAnsi="Book Antiqua"/>
          <w:b/>
          <w:sz w:val="28"/>
          <w:szCs w:val="28"/>
          <w:lang w:val="en-US"/>
        </w:rPr>
      </w:pPr>
    </w:p>
    <w:p w:rsidR="006211F4" w:rsidRDefault="006211F4" w:rsidP="00C3741C">
      <w:pPr>
        <w:pStyle w:val="Default"/>
        <w:rPr>
          <w:rFonts w:ascii="Book Antiqua" w:hAnsi="Book Antiqua"/>
          <w:b/>
          <w:sz w:val="28"/>
          <w:szCs w:val="28"/>
          <w:lang w:val="en-US"/>
        </w:rPr>
      </w:pPr>
    </w:p>
    <w:p w:rsidR="006211F4" w:rsidRDefault="006211F4" w:rsidP="00C3741C">
      <w:pPr>
        <w:pStyle w:val="Default"/>
        <w:rPr>
          <w:rFonts w:ascii="Book Antiqua" w:hAnsi="Book Antiqua"/>
          <w:b/>
          <w:sz w:val="28"/>
          <w:szCs w:val="28"/>
          <w:lang w:val="en-US"/>
        </w:rPr>
      </w:pPr>
    </w:p>
    <w:p w:rsidR="001B4AE1" w:rsidRPr="001B4AE1" w:rsidRDefault="006211F4" w:rsidP="001B4AE1">
      <w:pPr>
        <w:pStyle w:val="Heading2"/>
        <w:rPr>
          <w:rFonts w:ascii="Calibri" w:eastAsia="Calibri" w:hAnsi="Calibri" w:cs="Calibri"/>
          <w:b/>
          <w:color w:val="auto"/>
          <w:szCs w:val="22"/>
          <w:lang w:val="en-US" w:eastAsia="bg-BG"/>
        </w:rPr>
      </w:pPr>
      <w:r>
        <w:rPr>
          <w:rFonts w:ascii="Book Antiqua" w:hAnsi="Book Antiqua"/>
          <w:b/>
          <w:sz w:val="28"/>
          <w:szCs w:val="28"/>
        </w:rPr>
        <w:lastRenderedPageBreak/>
        <w:t>ФИНАНСОВ АНАЛИЗ</w:t>
      </w:r>
      <w:r w:rsidR="001B4AE1">
        <w:rPr>
          <w:rFonts w:ascii="Book Antiqua" w:hAnsi="Book Antiqua"/>
          <w:b/>
          <w:sz w:val="28"/>
          <w:szCs w:val="28"/>
        </w:rPr>
        <w:br/>
      </w:r>
      <w:r w:rsidR="001B4AE1">
        <w:rPr>
          <w:rFonts w:ascii="Book Antiqua" w:hAnsi="Book Antiqua"/>
          <w:b/>
          <w:sz w:val="28"/>
          <w:szCs w:val="28"/>
        </w:rPr>
        <w:br/>
      </w:r>
      <w:r w:rsidR="001B4AE1" w:rsidRPr="001B4AE1">
        <w:rPr>
          <w:rFonts w:ascii="Calibri" w:eastAsia="Calibri" w:hAnsi="Calibri" w:cs="Calibri"/>
          <w:b/>
          <w:color w:val="auto"/>
          <w:szCs w:val="22"/>
          <w:lang w:val="en-US" w:eastAsia="bg-BG"/>
        </w:rPr>
        <w:t>Финансова обосновка</w:t>
      </w:r>
    </w:p>
    <w:p w:rsidR="001B4AE1" w:rsidRPr="001B4AE1" w:rsidRDefault="001B4AE1" w:rsidP="001B4AE1">
      <w:pPr>
        <w:spacing w:after="160" w:line="256" w:lineRule="auto"/>
        <w:rPr>
          <w:rFonts w:ascii="Calibri" w:eastAsia="Calibri" w:hAnsi="Calibri" w:cs="Calibri"/>
          <w:lang w:val="en-US" w:eastAsia="bg-BG"/>
        </w:rPr>
      </w:pPr>
      <w:r w:rsidRPr="001B4AE1">
        <w:rPr>
          <w:rFonts w:ascii="Calibri" w:eastAsia="Calibri" w:hAnsi="Calibri" w:cs="Calibri"/>
          <w:lang w:val="en-US" w:eastAsia="bg-BG"/>
        </w:rPr>
        <w:t>По предварителна оценка стойността на дейностите е до 600 евро с ДДС, включително непредвидени разходи. Материалите за маркировката са остойнени по актуални цени в търговската мрежа). Трудът е остойнен по елементите на ценообразуване от ценово предложение по обществена поръчка на Община Бургас № 00797-2024-0084 („Реконструкция на ул. „Асен Златаров““, ноември 2024 г.): часова ставка 5,90 лв./ч (3,02 €/ч), допълнителни разходи върху труда 100%, доставно-складови разходи 13% и печалба 10%. Пътният знак и стойката са по единични цени от същата поръчка. Временна организация на движението не е остойностена отделно, тъй като работите са еднодневни и засягат една лента. Цените в лева са преизчислени по курс 1,95583 лв. за евро.</w:t>
      </w:r>
    </w:p>
    <w:tbl>
      <w:tblPr>
        <w:tblStyle w:val="TableGrid"/>
        <w:tblW w:w="0" w:type="auto"/>
        <w:tblInd w:w="0" w:type="dxa"/>
        <w:tblLayout w:type="fixed"/>
        <w:tblLook w:val="0420" w:firstRow="1" w:lastRow="0" w:firstColumn="0" w:lastColumn="0" w:noHBand="0" w:noVBand="1"/>
      </w:tblPr>
      <w:tblGrid>
        <w:gridCol w:w="4051"/>
        <w:gridCol w:w="1327"/>
        <w:gridCol w:w="1327"/>
        <w:gridCol w:w="1327"/>
        <w:gridCol w:w="1327"/>
      </w:tblGrid>
      <w:tr w:rsidR="001B4AE1" w:rsidRPr="001B4AE1" w:rsidTr="001B4AE1">
        <w:trPr>
          <w:tblHeader/>
        </w:trPr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B4AE1" w:rsidRPr="001B4AE1" w:rsidRDefault="001B4AE1" w:rsidP="001B4AE1">
            <w:r w:rsidRPr="001B4AE1">
              <w:t>Вид работа / разход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B4AE1" w:rsidRPr="001B4AE1" w:rsidRDefault="001B4AE1" w:rsidP="001B4AE1">
            <w:r w:rsidRPr="001B4AE1">
              <w:t>Мярка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B4AE1" w:rsidRPr="001B4AE1" w:rsidRDefault="001B4AE1" w:rsidP="001B4AE1">
            <w:r w:rsidRPr="001B4AE1">
              <w:t>Количество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B4AE1" w:rsidRPr="001B4AE1" w:rsidRDefault="001B4AE1" w:rsidP="001B4AE1">
            <w:r w:rsidRPr="001B4AE1">
              <w:t>Ед. цена (€, без ДДС)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B4AE1" w:rsidRPr="001B4AE1" w:rsidRDefault="001B4AE1" w:rsidP="001B4AE1">
            <w:r w:rsidRPr="001B4AE1">
              <w:t>Стойност (€, без ДДС)</w:t>
            </w:r>
          </w:p>
        </w:tc>
      </w:tr>
      <w:tr w:rsidR="001B4AE1" w:rsidRPr="001B4AE1" w:rsidTr="001B4AE1"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rPr>
                <w:b/>
              </w:rPr>
              <w:t>А. Хоризонтална маркировка (линия М1, 0,10 м × 90 л.м., и символи „BUS“ – около 15 м², два слоя)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</w:tr>
      <w:tr w:rsidR="001B4AE1" w:rsidRPr="001B4AE1" w:rsidTr="001B4AE1"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Боя за пътна маркировка Xpert, жълта, 4 кг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бр.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20,45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61,35</w:t>
            </w:r>
          </w:p>
        </w:tc>
      </w:tr>
      <w:tr w:rsidR="001B4AE1" w:rsidRPr="001B4AE1" w:rsidTr="001B4AE1"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Разредител за пътна маркировка Xpert, 1 л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бр.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2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4,26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8,52</w:t>
            </w:r>
          </w:p>
        </w:tc>
      </w:tr>
      <w:tr w:rsidR="001B4AE1" w:rsidRPr="001B4AE1" w:rsidTr="001B4AE1"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Доставно-складови разходи върху материалите 13%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9,08</w:t>
            </w:r>
          </w:p>
        </w:tc>
      </w:tr>
      <w:tr w:rsidR="001B4AE1" w:rsidRPr="001B4AE1" w:rsidTr="001B4AE1"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Труд (екип от 2 души × 8 ч)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чч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16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3,02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48,32</w:t>
            </w:r>
          </w:p>
        </w:tc>
      </w:tr>
      <w:tr w:rsidR="001B4AE1" w:rsidRPr="001B4AE1" w:rsidTr="001B4AE1"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Допълнителни разходи върху труда 100%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48,32</w:t>
            </w:r>
          </w:p>
        </w:tc>
      </w:tr>
      <w:tr w:rsidR="001B4AE1" w:rsidRPr="001B4AE1" w:rsidTr="001B4AE1"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Печалба 10%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17,56</w:t>
            </w:r>
          </w:p>
        </w:tc>
      </w:tr>
      <w:tr w:rsidR="001B4AE1" w:rsidRPr="001B4AE1" w:rsidTr="001B4AE1"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rPr>
                <w:b/>
              </w:rPr>
              <w:t>Общо за маркировката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rPr>
                <w:b/>
              </w:rPr>
              <w:t>193,15</w:t>
            </w:r>
          </w:p>
        </w:tc>
      </w:tr>
      <w:tr w:rsidR="001B4AE1" w:rsidRPr="001B4AE1" w:rsidTr="001B4AE1"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rPr>
                <w:b/>
              </w:rPr>
              <w:t>Б. Вертикална сигнализация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</w:tr>
      <w:tr w:rsidR="001B4AE1" w:rsidRPr="001B4AE1" w:rsidTr="001B4AE1"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Пътен знак Г13 от светлоотразително фолио (площ ламарина, 1 бр. Ø600 мм)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м²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0,28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207,07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57,98</w:t>
            </w:r>
          </w:p>
        </w:tc>
      </w:tr>
      <w:tr w:rsidR="001B4AE1" w:rsidRPr="001B4AE1" w:rsidTr="001B4AE1"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Стойка до 3 м за пътен знак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бр.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1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84,59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84,59</w:t>
            </w:r>
          </w:p>
        </w:tc>
      </w:tr>
      <w:tr w:rsidR="001B4AE1" w:rsidRPr="001B4AE1" w:rsidTr="001B4AE1"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rPr>
                <w:b/>
              </w:rPr>
              <w:t>Общо без ДДС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rPr>
                <w:b/>
              </w:rPr>
              <w:t>335,72</w:t>
            </w:r>
          </w:p>
        </w:tc>
      </w:tr>
      <w:tr w:rsidR="001B4AE1" w:rsidRPr="001B4AE1" w:rsidTr="001B4AE1"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Непредвидени разходи 10%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33,57</w:t>
            </w:r>
          </w:p>
        </w:tc>
      </w:tr>
      <w:tr w:rsidR="001B4AE1" w:rsidRPr="001B4AE1" w:rsidTr="001B4AE1"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ДДС 20%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t>73,86</w:t>
            </w:r>
          </w:p>
        </w:tc>
      </w:tr>
      <w:tr w:rsidR="001B4AE1" w:rsidRPr="001B4AE1" w:rsidTr="001B4AE1"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rPr>
                <w:b/>
              </w:rPr>
              <w:t>Общо с ДДС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E1" w:rsidRPr="001B4AE1" w:rsidRDefault="001B4AE1" w:rsidP="001B4AE1"/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AE1" w:rsidRPr="001B4AE1" w:rsidRDefault="001B4AE1" w:rsidP="001B4AE1">
            <w:r w:rsidRPr="001B4AE1">
              <w:rPr>
                <w:b/>
              </w:rPr>
              <w:t>443,15</w:t>
            </w:r>
          </w:p>
        </w:tc>
      </w:tr>
    </w:tbl>
    <w:p w:rsidR="001B4AE1" w:rsidRPr="001B4AE1" w:rsidRDefault="001B4AE1" w:rsidP="001B4AE1">
      <w:pPr>
        <w:spacing w:after="160" w:line="256" w:lineRule="auto"/>
        <w:rPr>
          <w:rFonts w:ascii="Calibri" w:eastAsia="Calibri" w:hAnsi="Calibri" w:cs="Calibri"/>
          <w:lang w:val="en-US" w:eastAsia="bg-BG"/>
        </w:rPr>
      </w:pPr>
      <w:r w:rsidRPr="001B4AE1">
        <w:rPr>
          <w:rFonts w:ascii="Calibri" w:eastAsia="Calibri" w:hAnsi="Calibri" w:cs="Calibri"/>
          <w:lang w:val="en-US" w:eastAsia="bg-BG"/>
        </w:rPr>
        <w:lastRenderedPageBreak/>
        <w:t>Предлаганият лимит от 600 евро осигурява резерв за поскъпването след 2024 г. и за малкия обем на работата, включително за временна организация на движението, ако такава бъде изискана. Средствата могат да бъдат осигурени в рамките на утвърдените по бюджета на Община Бургас за 2026 г. разходи по дейност 832 „Служби и дейности по поддържане, ремонт и изграждане на пътищата“, без да е необходима корекция на бюджета.</w:t>
      </w:r>
    </w:p>
    <w:p w:rsidR="006211F4" w:rsidRDefault="006211F4" w:rsidP="00C3741C">
      <w:pPr>
        <w:pStyle w:val="Default"/>
        <w:rPr>
          <w:rFonts w:ascii="Book Antiqua" w:hAnsi="Book Antiqua"/>
          <w:b/>
          <w:sz w:val="28"/>
          <w:szCs w:val="28"/>
        </w:rPr>
      </w:pPr>
    </w:p>
    <w:sectPr w:rsidR="006211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350E8"/>
    <w:multiLevelType w:val="hybridMultilevel"/>
    <w:tmpl w:val="EB5E223A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D150734"/>
    <w:multiLevelType w:val="multilevel"/>
    <w:tmpl w:val="C2BE6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CD0AF8"/>
    <w:multiLevelType w:val="hybridMultilevel"/>
    <w:tmpl w:val="E19250B0"/>
    <w:lvl w:ilvl="0" w:tplc="0C6C0144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DA17089"/>
    <w:multiLevelType w:val="multilevel"/>
    <w:tmpl w:val="24508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D04AC1"/>
    <w:multiLevelType w:val="hybridMultilevel"/>
    <w:tmpl w:val="1C50A5BC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BFE5A7E"/>
    <w:multiLevelType w:val="hybridMultilevel"/>
    <w:tmpl w:val="330CD35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91E7383"/>
    <w:multiLevelType w:val="multilevel"/>
    <w:tmpl w:val="865E4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1E434C"/>
    <w:multiLevelType w:val="multilevel"/>
    <w:tmpl w:val="162CE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07021E"/>
    <w:multiLevelType w:val="multilevel"/>
    <w:tmpl w:val="C2BE6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D976A0"/>
    <w:multiLevelType w:val="multilevel"/>
    <w:tmpl w:val="535EB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9"/>
  </w:num>
  <w:num w:numId="6">
    <w:abstractNumId w:val="7"/>
  </w:num>
  <w:num w:numId="7">
    <w:abstractNumId w:val="3"/>
  </w:num>
  <w:num w:numId="8">
    <w:abstractNumId w:val="8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F95"/>
    <w:rsid w:val="0007177B"/>
    <w:rsid w:val="00081E14"/>
    <w:rsid w:val="00101F41"/>
    <w:rsid w:val="00103B20"/>
    <w:rsid w:val="001763D4"/>
    <w:rsid w:val="001B4AE1"/>
    <w:rsid w:val="001C1C14"/>
    <w:rsid w:val="001E7004"/>
    <w:rsid w:val="00272B77"/>
    <w:rsid w:val="00313917"/>
    <w:rsid w:val="003217A6"/>
    <w:rsid w:val="00347FF4"/>
    <w:rsid w:val="00371C5C"/>
    <w:rsid w:val="0041385F"/>
    <w:rsid w:val="0046507B"/>
    <w:rsid w:val="004E423C"/>
    <w:rsid w:val="004F51DC"/>
    <w:rsid w:val="00533F95"/>
    <w:rsid w:val="00552129"/>
    <w:rsid w:val="005835C9"/>
    <w:rsid w:val="005C7313"/>
    <w:rsid w:val="005D0BB4"/>
    <w:rsid w:val="005F3FDE"/>
    <w:rsid w:val="006211F4"/>
    <w:rsid w:val="00627740"/>
    <w:rsid w:val="006623F6"/>
    <w:rsid w:val="00676A67"/>
    <w:rsid w:val="006C6EB9"/>
    <w:rsid w:val="007A4D34"/>
    <w:rsid w:val="007A60D4"/>
    <w:rsid w:val="007E069C"/>
    <w:rsid w:val="008A364B"/>
    <w:rsid w:val="00930FBC"/>
    <w:rsid w:val="00984F11"/>
    <w:rsid w:val="00AB0529"/>
    <w:rsid w:val="00AB382F"/>
    <w:rsid w:val="00B85628"/>
    <w:rsid w:val="00B9104B"/>
    <w:rsid w:val="00BB134C"/>
    <w:rsid w:val="00BF637B"/>
    <w:rsid w:val="00C3741C"/>
    <w:rsid w:val="00D27D71"/>
    <w:rsid w:val="00DB420D"/>
    <w:rsid w:val="00E12316"/>
    <w:rsid w:val="00E36C17"/>
    <w:rsid w:val="00F21547"/>
    <w:rsid w:val="00FB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C8EDCF-38F6-415B-8B97-BF05C94D3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FF4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4A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33F9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C731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5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54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91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B9104B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4A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rsid w:val="001B4AE1"/>
    <w:pPr>
      <w:spacing w:after="160" w:line="256" w:lineRule="auto"/>
    </w:pPr>
    <w:rPr>
      <w:rFonts w:ascii="Calibri" w:eastAsia="Calibri" w:hAnsi="Calibri" w:cs="Calibri"/>
      <w:lang w:val="en-US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7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7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9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88B89-61AD-4BA8-8A11-B2C4A1AE7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Gergana Chanakova</dc:creator>
  <cp:lastModifiedBy>Gergana Chanakova</cp:lastModifiedBy>
  <cp:revision>2</cp:revision>
  <cp:lastPrinted>2026-10-13T09:09:00Z</cp:lastPrinted>
  <dcterms:created xsi:type="dcterms:W3CDTF">2026-10-14T10:40:00Z</dcterms:created>
  <dcterms:modified xsi:type="dcterms:W3CDTF">2026-10-14T10:40:00Z</dcterms:modified>
</cp:coreProperties>
</file>