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4FB" w:rsidRDefault="00890701">
      <w:pPr>
        <w:pStyle w:val="Heading1"/>
        <w:ind w:left="708"/>
        <w:rPr>
          <w:rFonts w:ascii="Century Gothic" w:eastAsia="Century Gothic" w:hAnsi="Century Gothic" w:cs="Century Gothic"/>
          <w:sz w:val="36"/>
          <w:szCs w:val="3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2726689</wp:posOffset>
            </wp:positionH>
            <wp:positionV relativeFrom="line">
              <wp:posOffset>178435</wp:posOffset>
            </wp:positionV>
            <wp:extent cx="637541" cy="951865"/>
            <wp:effectExtent l="0" t="0" r="0" b="0"/>
            <wp:wrapNone/>
            <wp:docPr id="1073741825" name="officeArt object" descr="G_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_111" descr="G_11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541" cy="9518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</w:rPr>
        <w:t xml:space="preserve">    ОБЩИНА БУРГАС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      </w:t>
      </w:r>
      <w:r>
        <w:rPr>
          <w:rFonts w:ascii="Century Gothic" w:hAnsi="Century Gothic"/>
          <w:lang w:val="en-US"/>
        </w:rPr>
        <w:t>BURGAS MUNICIPALITY</w:t>
      </w:r>
    </w:p>
    <w:p w:rsidR="007364FB" w:rsidRDefault="00890701">
      <w:pPr>
        <w:pStyle w:val="Heading1"/>
        <w:ind w:left="708"/>
        <w:rPr>
          <w:rFonts w:ascii="Century Gothic" w:eastAsia="Century Gothic" w:hAnsi="Century Gothic" w:cs="Century Gothic"/>
          <w:b w:val="0"/>
          <w:bCs w:val="0"/>
          <w:sz w:val="16"/>
          <w:szCs w:val="16"/>
        </w:rPr>
      </w:pPr>
      <w:r>
        <w:rPr>
          <w:rFonts w:ascii="Century Gothic" w:hAnsi="Century Gothic"/>
          <w:b w:val="0"/>
          <w:bCs w:val="0"/>
          <w:sz w:val="16"/>
          <w:szCs w:val="16"/>
          <w:lang w:val="en-US"/>
        </w:rPr>
        <w:t xml:space="preserve">  </w:t>
      </w:r>
      <w:r>
        <w:rPr>
          <w:rFonts w:ascii="Century Gothic" w:hAnsi="Century Gothic"/>
          <w:b w:val="0"/>
          <w:bCs w:val="0"/>
          <w:sz w:val="16"/>
          <w:szCs w:val="16"/>
        </w:rPr>
        <w:t xml:space="preserve">8000 Бургас, ул.”Александровска” № 26                               </w:t>
      </w:r>
      <w:r>
        <w:rPr>
          <w:rFonts w:ascii="Century Gothic" w:hAnsi="Century Gothic"/>
          <w:b w:val="0"/>
          <w:bCs w:val="0"/>
          <w:sz w:val="16"/>
          <w:szCs w:val="16"/>
          <w:lang w:val="en-US"/>
        </w:rPr>
        <w:t>26,</w:t>
      </w:r>
      <w:r>
        <w:rPr>
          <w:rFonts w:ascii="Century Gothic" w:hAnsi="Century Gothic"/>
          <w:b w:val="0"/>
          <w:bCs w:val="0"/>
          <w:sz w:val="16"/>
          <w:szCs w:val="16"/>
        </w:rPr>
        <w:t xml:space="preserve"> </w:t>
      </w:r>
      <w:r>
        <w:rPr>
          <w:rFonts w:ascii="Century Gothic" w:hAnsi="Century Gothic"/>
          <w:b w:val="0"/>
          <w:bCs w:val="0"/>
          <w:sz w:val="16"/>
          <w:szCs w:val="16"/>
          <w:lang w:val="en-US"/>
        </w:rPr>
        <w:t>Aleksandrovska Street, 8000 Burgas, Bulgaria</w:t>
      </w:r>
    </w:p>
    <w:p w:rsidR="007364FB" w:rsidRDefault="00890701">
      <w:pPr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</w:t>
      </w:r>
      <w:r>
        <w:rPr>
          <w:rFonts w:ascii="Century Gothic" w:hAnsi="Century Gothic"/>
          <w:sz w:val="16"/>
          <w:szCs w:val="16"/>
          <w:lang w:val="en-US"/>
        </w:rPr>
        <w:tab/>
        <w:t xml:space="preserve">  </w:t>
      </w:r>
      <w:r>
        <w:rPr>
          <w:rFonts w:ascii="Century Gothic" w:hAnsi="Century Gothic"/>
          <w:sz w:val="16"/>
          <w:szCs w:val="16"/>
        </w:rPr>
        <w:t xml:space="preserve">телефон: 056/840915-19; факс: 056/841314        </w:t>
      </w:r>
      <w:r>
        <w:rPr>
          <w:rFonts w:ascii="Century Gothic" w:hAnsi="Century Gothic"/>
          <w:sz w:val="16"/>
          <w:szCs w:val="16"/>
        </w:rPr>
        <w:tab/>
        <w:t xml:space="preserve">          </w:t>
      </w:r>
      <w:r>
        <w:rPr>
          <w:rFonts w:ascii="Century Gothic" w:hAnsi="Century Gothic"/>
          <w:sz w:val="16"/>
          <w:szCs w:val="16"/>
          <w:lang w:val="en-US"/>
        </w:rPr>
        <w:t>Phone</w:t>
      </w:r>
      <w:r>
        <w:rPr>
          <w:rFonts w:ascii="Century Gothic" w:hAnsi="Century Gothic"/>
          <w:sz w:val="16"/>
          <w:szCs w:val="16"/>
        </w:rPr>
        <w:t xml:space="preserve">: </w:t>
      </w:r>
      <w:r>
        <w:rPr>
          <w:rFonts w:ascii="Century Gothic" w:hAnsi="Century Gothic"/>
          <w:sz w:val="16"/>
          <w:szCs w:val="16"/>
          <w:lang w:val="en-US"/>
        </w:rPr>
        <w:t>+359</w:t>
      </w:r>
      <w:r>
        <w:rPr>
          <w:rFonts w:ascii="Century Gothic" w:hAnsi="Century Gothic"/>
          <w:sz w:val="16"/>
          <w:szCs w:val="16"/>
        </w:rPr>
        <w:t xml:space="preserve">56/840915-19; </w:t>
      </w:r>
      <w:r>
        <w:rPr>
          <w:rFonts w:ascii="Century Gothic" w:hAnsi="Century Gothic"/>
          <w:sz w:val="16"/>
          <w:szCs w:val="16"/>
          <w:lang w:val="en-US"/>
        </w:rPr>
        <w:t>Fax</w:t>
      </w:r>
      <w:r>
        <w:rPr>
          <w:rFonts w:ascii="Century Gothic" w:hAnsi="Century Gothic"/>
          <w:sz w:val="16"/>
          <w:szCs w:val="16"/>
        </w:rPr>
        <w:t xml:space="preserve">: </w:t>
      </w:r>
      <w:r>
        <w:rPr>
          <w:rFonts w:ascii="Century Gothic" w:hAnsi="Century Gothic"/>
          <w:sz w:val="16"/>
          <w:szCs w:val="16"/>
          <w:lang w:val="en-US"/>
        </w:rPr>
        <w:t>+359</w:t>
      </w:r>
      <w:r>
        <w:rPr>
          <w:rFonts w:ascii="Century Gothic" w:hAnsi="Century Gothic"/>
          <w:sz w:val="16"/>
          <w:szCs w:val="16"/>
        </w:rPr>
        <w:t>56/841314</w:t>
      </w:r>
    </w:p>
    <w:p w:rsidR="007364FB" w:rsidRDefault="00890701">
      <w:pPr>
        <w:ind w:firstLine="708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</w:t>
      </w:r>
      <w:r>
        <w:rPr>
          <w:rFonts w:ascii="Century Gothic" w:hAnsi="Century Gothic"/>
          <w:sz w:val="16"/>
          <w:szCs w:val="16"/>
        </w:rPr>
        <w:t>електронна поща:</w:t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hyperlink r:id="rId9" w:history="1">
        <w:r>
          <w:rPr>
            <w:rStyle w:val="Hyperlink0"/>
          </w:rPr>
          <w:t>o</w:t>
        </w:r>
        <w:r>
          <w:rPr>
            <w:rStyle w:val="Link"/>
            <w:rFonts w:ascii="Century Gothic" w:hAnsi="Century Gothic"/>
            <w:sz w:val="16"/>
            <w:szCs w:val="16"/>
            <w:lang w:val="pt-PT"/>
          </w:rPr>
          <w:t>bs</w:t>
        </w:r>
        <w:r>
          <w:rPr>
            <w:rStyle w:val="Hyperlink0"/>
          </w:rPr>
          <w:t>h</w:t>
        </w:r>
        <w:r>
          <w:rPr>
            <w:rStyle w:val="Link"/>
            <w:rFonts w:ascii="Century Gothic" w:hAnsi="Century Gothic"/>
            <w:sz w:val="16"/>
            <w:szCs w:val="16"/>
            <w:lang w:val="pt-PT"/>
          </w:rPr>
          <w:t>tina</w:t>
        </w:r>
        <w:r>
          <w:rPr>
            <w:rStyle w:val="Link"/>
            <w:rFonts w:ascii="Century Gothic" w:hAnsi="Century Gothic"/>
            <w:sz w:val="16"/>
            <w:szCs w:val="16"/>
          </w:rPr>
          <w:t>@</w:t>
        </w:r>
        <w:r>
          <w:rPr>
            <w:rStyle w:val="Link"/>
            <w:rFonts w:ascii="Century Gothic" w:hAnsi="Century Gothic"/>
            <w:sz w:val="16"/>
            <w:szCs w:val="16"/>
            <w:lang w:val="pt-PT"/>
          </w:rPr>
          <w:t>burgas</w:t>
        </w:r>
        <w:r>
          <w:rPr>
            <w:rStyle w:val="Link"/>
            <w:rFonts w:ascii="Century Gothic" w:hAnsi="Century Gothic"/>
            <w:sz w:val="16"/>
            <w:szCs w:val="16"/>
          </w:rPr>
          <w:t>.</w:t>
        </w:r>
        <w:r>
          <w:rPr>
            <w:rStyle w:val="Link"/>
            <w:rFonts w:ascii="Century Gothic" w:hAnsi="Century Gothic"/>
            <w:sz w:val="16"/>
            <w:szCs w:val="16"/>
            <w:lang w:val="pt-PT"/>
          </w:rPr>
          <w:t>bg</w:t>
        </w:r>
      </w:hyperlink>
      <w:r>
        <w:rPr>
          <w:rFonts w:ascii="Century Gothic" w:eastAsia="Century Gothic" w:hAnsi="Century Gothic" w:cs="Century Gothic"/>
          <w:sz w:val="16"/>
          <w:szCs w:val="16"/>
          <w:lang w:val="pt-PT"/>
        </w:rPr>
        <w:tab/>
      </w:r>
      <w:r>
        <w:rPr>
          <w:rFonts w:ascii="Century Gothic" w:hAnsi="Century Gothic"/>
          <w:sz w:val="16"/>
          <w:szCs w:val="16"/>
        </w:rPr>
        <w:t xml:space="preserve">                   </w:t>
      </w:r>
      <w:r>
        <w:rPr>
          <w:rFonts w:ascii="Century Gothic" w:hAnsi="Century Gothic"/>
          <w:sz w:val="16"/>
          <w:szCs w:val="16"/>
          <w:lang w:val="pt-PT"/>
        </w:rPr>
        <w:t xml:space="preserve">       </w:t>
      </w:r>
      <w:r>
        <w:rPr>
          <w:rFonts w:ascii="Century Gothic" w:hAnsi="Century Gothic"/>
          <w:sz w:val="16"/>
          <w:szCs w:val="16"/>
          <w:lang w:val="en-US"/>
        </w:rPr>
        <w:t>e-mail</w:t>
      </w:r>
      <w:r>
        <w:rPr>
          <w:rFonts w:ascii="Century Gothic" w:hAnsi="Century Gothic"/>
          <w:sz w:val="16"/>
          <w:szCs w:val="16"/>
        </w:rPr>
        <w:t xml:space="preserve">: </w:t>
      </w:r>
      <w:r>
        <w:rPr>
          <w:rFonts w:ascii="Century Gothic" w:hAnsi="Century Gothic"/>
          <w:sz w:val="16"/>
          <w:szCs w:val="16"/>
          <w:lang w:val="pt-PT"/>
        </w:rPr>
        <w:t>obs</w:t>
      </w:r>
      <w:r>
        <w:rPr>
          <w:rFonts w:ascii="Century Gothic" w:hAnsi="Century Gothic"/>
          <w:sz w:val="16"/>
          <w:szCs w:val="16"/>
          <w:lang w:val="en-US"/>
        </w:rPr>
        <w:t>h</w:t>
      </w:r>
      <w:r>
        <w:rPr>
          <w:rFonts w:ascii="Century Gothic" w:hAnsi="Century Gothic"/>
          <w:sz w:val="16"/>
          <w:szCs w:val="16"/>
          <w:lang w:val="pt-PT"/>
        </w:rPr>
        <w:t>tina</w:t>
      </w:r>
      <w:r>
        <w:rPr>
          <w:rFonts w:ascii="Century Gothic" w:hAnsi="Century Gothic"/>
          <w:sz w:val="16"/>
          <w:szCs w:val="16"/>
        </w:rPr>
        <w:t>@</w:t>
      </w:r>
      <w:r>
        <w:rPr>
          <w:rFonts w:ascii="Century Gothic" w:hAnsi="Century Gothic"/>
          <w:sz w:val="16"/>
          <w:szCs w:val="16"/>
          <w:lang w:val="pt-PT"/>
        </w:rPr>
        <w:t>burgas</w:t>
      </w:r>
      <w:r>
        <w:rPr>
          <w:rFonts w:ascii="Century Gothic" w:hAnsi="Century Gothic"/>
          <w:sz w:val="16"/>
          <w:szCs w:val="16"/>
        </w:rPr>
        <w:t>.</w:t>
      </w:r>
      <w:r>
        <w:rPr>
          <w:rFonts w:ascii="Century Gothic" w:hAnsi="Century Gothic"/>
          <w:sz w:val="16"/>
          <w:szCs w:val="16"/>
          <w:lang w:val="pt-PT"/>
        </w:rPr>
        <w:t>bg</w:t>
      </w:r>
      <w:r>
        <w:rPr>
          <w:rFonts w:ascii="Century Gothic" w:hAnsi="Century Gothic"/>
          <w:sz w:val="16"/>
          <w:szCs w:val="16"/>
        </w:rPr>
        <w:t xml:space="preserve"> </w:t>
      </w:r>
    </w:p>
    <w:p w:rsidR="007364FB" w:rsidRDefault="00890701">
      <w:pPr>
        <w:ind w:firstLine="708"/>
        <w:rPr>
          <w:rFonts w:ascii="Century Gothic" w:eastAsia="Century Gothic" w:hAnsi="Century Gothic" w:cs="Century Gothic"/>
          <w:sz w:val="16"/>
          <w:szCs w:val="16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4265295</wp:posOffset>
            </wp:positionH>
            <wp:positionV relativeFrom="line">
              <wp:posOffset>6350</wp:posOffset>
            </wp:positionV>
            <wp:extent cx="297180" cy="158115"/>
            <wp:effectExtent l="0" t="0" r="0" b="0"/>
            <wp:wrapNone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1341755</wp:posOffset>
            </wp:positionH>
            <wp:positionV relativeFrom="line">
              <wp:posOffset>5080</wp:posOffset>
            </wp:positionV>
            <wp:extent cx="297180" cy="158115"/>
            <wp:effectExtent l="0" t="0" r="0" b="0"/>
            <wp:wrapNone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sz w:val="16"/>
          <w:szCs w:val="16"/>
          <w:lang w:val="en-US"/>
        </w:rPr>
        <w:t xml:space="preserve">  </w:t>
      </w:r>
      <w:r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 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</w:t>
      </w:r>
      <w:r>
        <w:rPr>
          <w:rFonts w:ascii="Century Gothic" w:hAnsi="Century Gothic"/>
          <w:sz w:val="16"/>
          <w:szCs w:val="16"/>
        </w:rPr>
        <w:t xml:space="preserve">www.burgas.bg </w:t>
      </w:r>
    </w:p>
    <w:p w:rsidR="007364FB" w:rsidRDefault="007364FB">
      <w:pPr>
        <w:ind w:firstLine="708"/>
        <w:rPr>
          <w:rFonts w:ascii="Century Gothic" w:eastAsia="Century Gothic" w:hAnsi="Century Gothic" w:cs="Century Gothic"/>
          <w:sz w:val="16"/>
          <w:szCs w:val="16"/>
        </w:rPr>
      </w:pPr>
    </w:p>
    <w:p w:rsidR="007364FB" w:rsidRDefault="007364FB">
      <w:pPr>
        <w:jc w:val="both"/>
        <w:rPr>
          <w:rFonts w:ascii="Century Gothic" w:eastAsia="Century Gothic" w:hAnsi="Century Gothic" w:cs="Century Gothic"/>
          <w:sz w:val="16"/>
          <w:szCs w:val="16"/>
        </w:rPr>
      </w:pPr>
    </w:p>
    <w:p w:rsidR="00FC582F" w:rsidRDefault="00FC582F">
      <w:pPr>
        <w:jc w:val="both"/>
        <w:rPr>
          <w:b/>
          <w:bCs/>
        </w:rPr>
      </w:pPr>
    </w:p>
    <w:p w:rsidR="007364FB" w:rsidRDefault="00890701">
      <w:pPr>
        <w:jc w:val="both"/>
        <w:rPr>
          <w:b/>
          <w:bCs/>
        </w:rPr>
      </w:pPr>
      <w:r>
        <w:rPr>
          <w:b/>
          <w:bCs/>
        </w:rPr>
        <w:t xml:space="preserve">ДО </w:t>
      </w:r>
    </w:p>
    <w:p w:rsidR="007364FB" w:rsidRDefault="00890701">
      <w:pPr>
        <w:jc w:val="both"/>
        <w:rPr>
          <w:b/>
          <w:bCs/>
        </w:rPr>
      </w:pPr>
      <w:r>
        <w:rPr>
          <w:b/>
          <w:bCs/>
        </w:rPr>
        <w:t>ОБЩИНСКИ СЪВЕТ</w:t>
      </w:r>
    </w:p>
    <w:p w:rsidR="007364FB" w:rsidRDefault="00890701">
      <w:pPr>
        <w:jc w:val="both"/>
        <w:rPr>
          <w:b/>
          <w:bCs/>
        </w:rPr>
      </w:pPr>
      <w:r>
        <w:rPr>
          <w:b/>
          <w:bCs/>
        </w:rPr>
        <w:t>ГРАД  БУРГАС</w:t>
      </w:r>
    </w:p>
    <w:p w:rsidR="007364FB" w:rsidRDefault="007364FB">
      <w:pPr>
        <w:rPr>
          <w:b/>
          <w:bCs/>
        </w:rPr>
      </w:pPr>
    </w:p>
    <w:p w:rsidR="007364FB" w:rsidRDefault="007364FB">
      <w:pPr>
        <w:rPr>
          <w:b/>
          <w:bCs/>
          <w:caps/>
          <w:sz w:val="28"/>
          <w:szCs w:val="28"/>
        </w:rPr>
      </w:pPr>
    </w:p>
    <w:p w:rsidR="007364FB" w:rsidRDefault="007364FB">
      <w:pPr>
        <w:rPr>
          <w:b/>
          <w:bCs/>
          <w:caps/>
          <w:sz w:val="28"/>
          <w:szCs w:val="28"/>
        </w:rPr>
      </w:pPr>
    </w:p>
    <w:p w:rsidR="007364FB" w:rsidRDefault="00890701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Докладна записка</w:t>
      </w:r>
    </w:p>
    <w:p w:rsidR="007364FB" w:rsidRDefault="00890701">
      <w:pPr>
        <w:jc w:val="center"/>
        <w:rPr>
          <w:b/>
          <w:bCs/>
          <w:caps/>
        </w:rPr>
      </w:pPr>
      <w:r>
        <w:rPr>
          <w:b/>
          <w:bCs/>
          <w:caps/>
        </w:rPr>
        <w:t xml:space="preserve">От </w:t>
      </w:r>
      <w:r w:rsidR="0047652C">
        <w:rPr>
          <w:b/>
          <w:bCs/>
          <w:caps/>
        </w:rPr>
        <w:t>ИНЖ. ЧАНКА КОРАЛСКА</w:t>
      </w:r>
      <w:r>
        <w:rPr>
          <w:b/>
          <w:bCs/>
          <w:caps/>
        </w:rPr>
        <w:t xml:space="preserve"> –</w:t>
      </w:r>
      <w:r w:rsidR="0047652C">
        <w:rPr>
          <w:b/>
          <w:bCs/>
          <w:caps/>
        </w:rPr>
        <w:t xml:space="preserve"> ЗАМ.-</w:t>
      </w:r>
      <w:r>
        <w:rPr>
          <w:b/>
          <w:bCs/>
          <w:caps/>
        </w:rPr>
        <w:t>кмет</w:t>
      </w:r>
      <w:r w:rsidR="0047652C">
        <w:rPr>
          <w:b/>
          <w:bCs/>
          <w:caps/>
        </w:rPr>
        <w:t xml:space="preserve"> „СТРОИТЕЛСТВО, ИНВЕСТИЦИИ И РЕГИОНАЛНО РАЗВИТИЕ“</w:t>
      </w:r>
      <w:r>
        <w:rPr>
          <w:b/>
          <w:bCs/>
          <w:caps/>
        </w:rPr>
        <w:t xml:space="preserve"> на Община Бургас</w:t>
      </w:r>
    </w:p>
    <w:p w:rsidR="007364FB" w:rsidRDefault="007364FB">
      <w:pPr>
        <w:jc w:val="both"/>
        <w:rPr>
          <w:b/>
          <w:bCs/>
          <w:caps/>
        </w:rPr>
      </w:pPr>
    </w:p>
    <w:p w:rsidR="007364FB" w:rsidRDefault="007364FB">
      <w:pPr>
        <w:jc w:val="both"/>
        <w:rPr>
          <w:b/>
          <w:bCs/>
          <w:caps/>
        </w:rPr>
      </w:pPr>
    </w:p>
    <w:p w:rsidR="007364FB" w:rsidRDefault="007364FB">
      <w:pPr>
        <w:jc w:val="both"/>
        <w:rPr>
          <w:b/>
          <w:bCs/>
          <w:caps/>
        </w:rPr>
      </w:pPr>
    </w:p>
    <w:p w:rsidR="007364FB" w:rsidRDefault="00890701">
      <w:pPr>
        <w:ind w:firstLine="708"/>
        <w:jc w:val="both"/>
        <w:rPr>
          <w:i/>
          <w:iCs/>
        </w:rPr>
      </w:pPr>
      <w:r>
        <w:rPr>
          <w:b/>
          <w:bCs/>
          <w:caps/>
        </w:rPr>
        <w:t xml:space="preserve">относно: </w:t>
      </w:r>
      <w:r>
        <w:rPr>
          <w:i/>
          <w:iCs/>
        </w:rPr>
        <w:t>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Черноморското крайбрежие /ЗУЧК/.</w:t>
      </w:r>
    </w:p>
    <w:p w:rsidR="007364FB" w:rsidRDefault="007364FB">
      <w:pPr>
        <w:jc w:val="both"/>
        <w:rPr>
          <w:b/>
          <w:bCs/>
          <w:i/>
          <w:iCs/>
          <w:caps/>
        </w:rPr>
      </w:pPr>
    </w:p>
    <w:p w:rsidR="007364FB" w:rsidRDefault="007364FB">
      <w:pPr>
        <w:jc w:val="both"/>
        <w:rPr>
          <w:b/>
          <w:bCs/>
          <w:i/>
          <w:iCs/>
          <w:caps/>
        </w:rPr>
      </w:pPr>
    </w:p>
    <w:p w:rsidR="007364FB" w:rsidRDefault="007364FB">
      <w:pPr>
        <w:jc w:val="both"/>
        <w:rPr>
          <w:b/>
          <w:bCs/>
          <w:i/>
          <w:iCs/>
          <w:caps/>
        </w:rPr>
      </w:pPr>
    </w:p>
    <w:p w:rsidR="00FC582F" w:rsidRDefault="00FC582F">
      <w:pPr>
        <w:jc w:val="both"/>
        <w:rPr>
          <w:b/>
          <w:bCs/>
          <w:caps/>
        </w:rPr>
      </w:pPr>
    </w:p>
    <w:p w:rsidR="007364FB" w:rsidRDefault="00890701">
      <w:pPr>
        <w:jc w:val="both"/>
        <w:rPr>
          <w:b/>
          <w:bCs/>
          <w:caps/>
        </w:rPr>
      </w:pPr>
      <w:r>
        <w:rPr>
          <w:b/>
          <w:bCs/>
          <w:caps/>
        </w:rPr>
        <w:t>уважаеми общински съветници,</w:t>
      </w:r>
    </w:p>
    <w:p w:rsidR="007364FB" w:rsidRDefault="007364FB">
      <w:pPr>
        <w:ind w:firstLine="567"/>
        <w:jc w:val="both"/>
        <w:rPr>
          <w:caps/>
        </w:rPr>
      </w:pPr>
    </w:p>
    <w:p w:rsidR="007131EC" w:rsidRPr="007131EC" w:rsidRDefault="00890701" w:rsidP="007131EC">
      <w:pPr>
        <w:spacing w:line="276" w:lineRule="auto"/>
        <w:ind w:firstLine="708"/>
        <w:jc w:val="both"/>
        <w:rPr>
          <w:rFonts w:cs="Times New Roman"/>
        </w:rPr>
      </w:pPr>
      <w:r w:rsidRPr="007131EC">
        <w:rPr>
          <w:rFonts w:cs="Times New Roman"/>
        </w:rPr>
        <w:t>С разпоредбата на чл. 15, ал. 1 от ЗУЧК, се забранява извършването на строителни и монтажни работи в националните курорти по Черноморското крайбрежие от 15 май до 1 октомври.</w:t>
      </w:r>
    </w:p>
    <w:p w:rsidR="007364FB" w:rsidRPr="007131EC" w:rsidRDefault="00890701" w:rsidP="007131EC">
      <w:pPr>
        <w:spacing w:line="276" w:lineRule="auto"/>
        <w:ind w:firstLine="708"/>
        <w:jc w:val="both"/>
        <w:rPr>
          <w:rFonts w:cs="Times New Roman"/>
        </w:rPr>
      </w:pPr>
      <w:r w:rsidRPr="007131EC">
        <w:rPr>
          <w:rFonts w:cs="Times New Roman"/>
        </w:rPr>
        <w:t xml:space="preserve">Като изключение в чл. 15, ал. 2 от ЗУЧК е предвидена възможност Черноморските Общини самостоятелно да определят периода и териториите, в които се забранява извършването на строителни и монтажни работи през курортния сезон. </w:t>
      </w:r>
    </w:p>
    <w:p w:rsidR="007131EC" w:rsidRPr="007131EC" w:rsidRDefault="00E32B4E" w:rsidP="007131EC">
      <w:pPr>
        <w:spacing w:line="276" w:lineRule="auto"/>
        <w:ind w:firstLine="708"/>
        <w:jc w:val="both"/>
        <w:rPr>
          <w:rFonts w:cs="Times New Roman"/>
        </w:rPr>
      </w:pPr>
      <w:r w:rsidRPr="007131EC">
        <w:rPr>
          <w:rFonts w:cs="Times New Roman"/>
          <w:shd w:val="clear" w:color="auto" w:fill="FFFFFF"/>
        </w:rPr>
        <w:t xml:space="preserve">Очакванията са активният туристически сезон през 2027 година в Бургас да започне по-рано от обичайното, тъй като градът ни постигна безпрецедентен успех, като спечели домакинството на международния песенен конкурс „Евровизия“, който ще се проведе в дните от 11 до 15 май 2027 год. Всяка година „Евровизия“ привлича десетки хиляди туристи в града домакин. Полуфиналите и финала ще се проведат в спортна зала „Арена Бургас“, но различни съпътстващи събития ще има на различни локации в града. Това налага разширяване на обхвата на строителната забрана и по-ранното ѝ въвеждане в някои от жилищните зони на Бургас. </w:t>
      </w:r>
    </w:p>
    <w:p w:rsidR="007131EC" w:rsidRPr="007131EC" w:rsidRDefault="00890701" w:rsidP="007131EC">
      <w:pPr>
        <w:spacing w:line="276" w:lineRule="auto"/>
        <w:ind w:firstLine="708"/>
        <w:jc w:val="both"/>
        <w:rPr>
          <w:rFonts w:cs="Times New Roman"/>
          <w:shd w:val="clear" w:color="auto" w:fill="FFFFFF"/>
        </w:rPr>
      </w:pPr>
      <w:r w:rsidRPr="007131EC">
        <w:rPr>
          <w:rFonts w:cs="Times New Roman"/>
        </w:rPr>
        <w:t>Град Бургас е обявен за климатичен морски курорт от национално значение с Постановление на Министерския съвет на Република България №741/1953 г., и е включен в списъка на климатичните морски курорти към Наредба №4 за курортните ресурси, курортните местности и курортите, обн. ДВ, бр.79 от 13.10.1987 г.</w:t>
      </w:r>
    </w:p>
    <w:p w:rsidR="007131EC" w:rsidRPr="007131EC" w:rsidRDefault="00890701" w:rsidP="007131EC">
      <w:pPr>
        <w:spacing w:line="276" w:lineRule="auto"/>
        <w:ind w:firstLine="708"/>
        <w:jc w:val="both"/>
        <w:rPr>
          <w:rFonts w:cs="Times New Roman"/>
          <w:shd w:val="clear" w:color="auto" w:fill="FFFFFF"/>
        </w:rPr>
      </w:pPr>
      <w:r w:rsidRPr="007131EC">
        <w:rPr>
          <w:rFonts w:cs="Times New Roman"/>
        </w:rPr>
        <w:t xml:space="preserve">След проведена кореспонденция и предложение от Община Бургас, с писмо рег.№08-00-134/10.10.2011г. Министерството на здравеопазването уточнява, че в границите на града </w:t>
      </w:r>
      <w:r w:rsidRPr="007131EC">
        <w:rPr>
          <w:rFonts w:cs="Times New Roman"/>
        </w:rPr>
        <w:lastRenderedPageBreak/>
        <w:t>към датата на обявяването му за климатичен морски курорт са попадали териториите на сегашните: Централна градска част, ж.к. „Възраждане“, ж.к. „Лазур“, ж.к. “Братя Миладинови“, Историческото ядро на Приморски парк.</w:t>
      </w:r>
    </w:p>
    <w:p w:rsidR="007364FB" w:rsidRPr="007131EC" w:rsidRDefault="00890701" w:rsidP="007131EC">
      <w:pPr>
        <w:spacing w:line="276" w:lineRule="auto"/>
        <w:ind w:firstLine="708"/>
        <w:jc w:val="both"/>
        <w:rPr>
          <w:rFonts w:cs="Times New Roman"/>
          <w:shd w:val="clear" w:color="auto" w:fill="FFFFFF"/>
        </w:rPr>
      </w:pPr>
      <w:r w:rsidRPr="007131EC">
        <w:rPr>
          <w:rFonts w:cs="Times New Roman"/>
        </w:rPr>
        <w:t>С Решение по т.12 от Протокол №3/29.11.2011 г., Общински съвет – Бургас е предложил на Министерството на здравеопазването да категоризира като климатичен морски курорт от национално значение частта от територията на гр. Бургас, обхващаща: Централна градска част, ж.к. „Възраждане“, ж.к. “Братя Миладинови“, ж.к. „Лазур“, Приморски парк, Парк „Езеро“, Зона Изток, заключена между плаж Атанасовска коса и Атанасовско езеро, Курортна зона местност „Ъгъла“ и кварталите „Крайморие“ и „Сарафово“ както и техните землища в обхвата на Зона А и Зона Б по смисъла на ЗУЧК.</w:t>
      </w:r>
    </w:p>
    <w:p w:rsidR="007131EC" w:rsidRPr="007131EC" w:rsidRDefault="00890701" w:rsidP="007131EC">
      <w:pPr>
        <w:spacing w:line="276" w:lineRule="auto"/>
        <w:ind w:firstLine="708"/>
        <w:jc w:val="both"/>
        <w:rPr>
          <w:rFonts w:cs="Times New Roman"/>
        </w:rPr>
      </w:pPr>
      <w:r w:rsidRPr="007131EC">
        <w:rPr>
          <w:rFonts w:cs="Times New Roman"/>
        </w:rPr>
        <w:t xml:space="preserve">В тази връзка, съобразно възможностите които предоставя разпоредбата на чл. 15, ал. 2 от ЗУЧК, и с оглед отчитане на специфичните характеристики и начина на ползване на отделните територии е целесъобразно забраната за строителни и монтажни работи през летния сезон на </w:t>
      </w:r>
      <w:r w:rsidR="00E32B4E" w:rsidRPr="007131EC">
        <w:rPr>
          <w:rFonts w:cs="Times New Roman"/>
        </w:rPr>
        <w:t>2027</w:t>
      </w:r>
      <w:r w:rsidRPr="007131EC">
        <w:rPr>
          <w:rFonts w:cs="Times New Roman"/>
        </w:rPr>
        <w:t xml:space="preserve"> г. за гр. Бургас да обхване териториите на Централна градска част, ж.к. „Възраждане“, ж.к. “Братя Миладинови“, ж.к. „Лазур“, Приморски парк, Парк „Езеро“, Зона Изток, заключена между плаж Атанасовска коса и Атанасовско езеро, Курортна зона местност „Ъгъла“ и кварталите „Крайморие“ и „Сарафово“ както и техните землища в обхвата на Зона А и Зона Б по смисъла на ЗУЧК.</w:t>
      </w:r>
      <w:r w:rsidR="00E32B4E" w:rsidRPr="007131EC">
        <w:rPr>
          <w:rFonts w:cs="Times New Roman"/>
        </w:rPr>
        <w:t xml:space="preserve"> А във връзка с предстоящото домакинство на „Евровизия“ към тези територии следва да се добавят и жилищните комплекси „Изгрев“, „Славейков“ и „Зорница“.</w:t>
      </w:r>
      <w:r w:rsidR="00E32B4E" w:rsidRPr="007131EC">
        <w:rPr>
          <w:rFonts w:cs="Times New Roman"/>
          <w:shd w:val="clear" w:color="auto" w:fill="FFFFFF"/>
        </w:rPr>
        <w:t xml:space="preserve"> </w:t>
      </w:r>
    </w:p>
    <w:p w:rsidR="007131EC" w:rsidRPr="007131EC" w:rsidRDefault="00890701" w:rsidP="007131EC">
      <w:pPr>
        <w:spacing w:line="276" w:lineRule="auto"/>
        <w:ind w:firstLine="708"/>
        <w:jc w:val="both"/>
        <w:rPr>
          <w:rFonts w:cs="Times New Roman"/>
        </w:rPr>
      </w:pPr>
      <w:r w:rsidRPr="007131EC">
        <w:rPr>
          <w:rFonts w:cs="Times New Roman"/>
        </w:rPr>
        <w:t>При отчитане на различната посещаемост в отделните зони и продължителността на летния туристически сезон в различните части на гр. Бургас периодът на забрана за извършване на строителни и монтажни работи следва да бъде различен.</w:t>
      </w:r>
    </w:p>
    <w:p w:rsidR="007364FB" w:rsidRPr="007131EC" w:rsidRDefault="00890701" w:rsidP="007131EC">
      <w:pPr>
        <w:spacing w:line="276" w:lineRule="auto"/>
        <w:ind w:firstLine="708"/>
        <w:jc w:val="both"/>
        <w:rPr>
          <w:rFonts w:cs="Times New Roman"/>
        </w:rPr>
      </w:pPr>
      <w:r w:rsidRPr="007131EC">
        <w:rPr>
          <w:rFonts w:cs="Times New Roman"/>
        </w:rPr>
        <w:t xml:space="preserve">Ето защо, предлагам, на основание чл.15, ал.2 от Закона за устройство на Черноморското крайбрежие, Общински съвет - Бургас да приеме следното </w:t>
      </w:r>
    </w:p>
    <w:p w:rsidR="007364FB" w:rsidRPr="007131EC" w:rsidRDefault="007364FB" w:rsidP="007131EC">
      <w:pPr>
        <w:spacing w:line="276" w:lineRule="auto"/>
        <w:ind w:firstLine="567"/>
        <w:jc w:val="both"/>
        <w:rPr>
          <w:rFonts w:cs="Times New Roman"/>
        </w:rPr>
      </w:pPr>
    </w:p>
    <w:p w:rsidR="007364FB" w:rsidRPr="007131EC" w:rsidRDefault="00890701" w:rsidP="007131EC">
      <w:pPr>
        <w:spacing w:line="276" w:lineRule="auto"/>
        <w:jc w:val="center"/>
        <w:rPr>
          <w:rFonts w:cs="Times New Roman"/>
          <w:b/>
          <w:bCs/>
        </w:rPr>
      </w:pPr>
      <w:r w:rsidRPr="007131EC">
        <w:rPr>
          <w:rFonts w:cs="Times New Roman"/>
          <w:b/>
          <w:bCs/>
        </w:rPr>
        <w:t>РЕШЕНИЕ:</w:t>
      </w:r>
    </w:p>
    <w:p w:rsidR="00FC582F" w:rsidRPr="007131EC" w:rsidRDefault="00FC582F" w:rsidP="007131EC">
      <w:pPr>
        <w:spacing w:line="276" w:lineRule="auto"/>
        <w:jc w:val="center"/>
        <w:rPr>
          <w:rFonts w:cs="Times New Roman"/>
          <w:b/>
          <w:bCs/>
        </w:rPr>
      </w:pPr>
    </w:p>
    <w:p w:rsidR="007364FB" w:rsidRPr="007131EC" w:rsidRDefault="00890701" w:rsidP="007131EC">
      <w:pPr>
        <w:pStyle w:val="ListParagraph"/>
        <w:numPr>
          <w:ilvl w:val="0"/>
          <w:numId w:val="2"/>
        </w:numPr>
        <w:tabs>
          <w:tab w:val="clear" w:pos="1134"/>
          <w:tab w:val="num" w:pos="851"/>
        </w:tabs>
        <w:spacing w:line="276" w:lineRule="auto"/>
        <w:ind w:left="0" w:firstLine="705"/>
        <w:jc w:val="both"/>
        <w:rPr>
          <w:rFonts w:cs="Times New Roman"/>
        </w:rPr>
      </w:pPr>
      <w:r w:rsidRPr="007131EC">
        <w:rPr>
          <w:rFonts w:cs="Times New Roman"/>
        </w:rPr>
        <w:t>На основание чл.15, ал.2 от ЗУЧК, Общински съвет Бургас определя периодите и териториите, в които се забранява извършването на строителни и монтажни работи в частта на град Бургас, определена за климатичен морски курорт от национално значение, както следва:</w:t>
      </w:r>
    </w:p>
    <w:p w:rsidR="007364FB" w:rsidRPr="007131EC" w:rsidRDefault="007364FB" w:rsidP="007131EC">
      <w:pPr>
        <w:spacing w:line="276" w:lineRule="auto"/>
        <w:jc w:val="both"/>
        <w:rPr>
          <w:rFonts w:cs="Times New Roman"/>
        </w:rPr>
      </w:pPr>
    </w:p>
    <w:p w:rsidR="007364FB" w:rsidRPr="007131EC" w:rsidRDefault="00A170F1" w:rsidP="007131EC">
      <w:pPr>
        <w:spacing w:line="276" w:lineRule="auto"/>
        <w:ind w:firstLine="705"/>
        <w:jc w:val="both"/>
        <w:rPr>
          <w:rFonts w:cs="Times New Roman"/>
        </w:rPr>
      </w:pPr>
      <w:r w:rsidRPr="007131EC">
        <w:rPr>
          <w:rFonts w:cs="Times New Roman"/>
          <w:b/>
          <w:bCs/>
        </w:rPr>
        <w:t>От 1</w:t>
      </w:r>
      <w:r w:rsidR="00B4044B" w:rsidRPr="007131EC">
        <w:rPr>
          <w:rFonts w:cs="Times New Roman"/>
          <w:b/>
          <w:bCs/>
        </w:rPr>
        <w:t>5 април</w:t>
      </w:r>
      <w:r w:rsidR="00ED6AEB" w:rsidRPr="007131EC">
        <w:rPr>
          <w:rFonts w:cs="Times New Roman"/>
          <w:b/>
          <w:bCs/>
        </w:rPr>
        <w:t xml:space="preserve"> </w:t>
      </w:r>
      <w:r w:rsidR="00B4044B" w:rsidRPr="007131EC">
        <w:rPr>
          <w:rFonts w:cs="Times New Roman"/>
          <w:b/>
          <w:bCs/>
        </w:rPr>
        <w:t>2027 г. (четвъртък) до 06 септември 2027</w:t>
      </w:r>
      <w:r w:rsidR="00890701" w:rsidRPr="007131EC">
        <w:rPr>
          <w:rFonts w:cs="Times New Roman"/>
          <w:b/>
          <w:bCs/>
        </w:rPr>
        <w:t xml:space="preserve"> г.</w:t>
      </w:r>
      <w:r w:rsidR="00890701" w:rsidRPr="007131EC">
        <w:rPr>
          <w:rFonts w:cs="Times New Roman"/>
        </w:rPr>
        <w:t xml:space="preserve"> </w:t>
      </w:r>
      <w:r w:rsidR="00B4044B" w:rsidRPr="007131EC">
        <w:rPr>
          <w:rFonts w:cs="Times New Roman"/>
          <w:b/>
          <w:bCs/>
        </w:rPr>
        <w:t>(понеделник</w:t>
      </w:r>
      <w:r w:rsidR="00890701" w:rsidRPr="007131EC">
        <w:rPr>
          <w:rFonts w:cs="Times New Roman"/>
          <w:b/>
          <w:bCs/>
        </w:rPr>
        <w:t>)</w:t>
      </w:r>
      <w:r w:rsidR="00890701" w:rsidRPr="007131EC">
        <w:rPr>
          <w:rFonts w:cs="Times New Roman"/>
        </w:rPr>
        <w:t xml:space="preserve"> за територията на: </w:t>
      </w:r>
    </w:p>
    <w:p w:rsidR="007364FB" w:rsidRPr="007131EC" w:rsidRDefault="00890701" w:rsidP="007131EC">
      <w:pPr>
        <w:pStyle w:val="ListParagraph"/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7131EC">
        <w:rPr>
          <w:rFonts w:cs="Times New Roman"/>
        </w:rPr>
        <w:t>кв. „Сарафово“, включително частите от землището в обхвата на Зона А и Зона Б по смисъла на ЗУЧК и Курортна зона местност „Ъгъла“;</w:t>
      </w:r>
    </w:p>
    <w:p w:rsidR="007364FB" w:rsidRPr="007131EC" w:rsidRDefault="00890701" w:rsidP="007131EC">
      <w:pPr>
        <w:pStyle w:val="ListParagraph"/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7131EC">
        <w:rPr>
          <w:rFonts w:cs="Times New Roman"/>
        </w:rPr>
        <w:t>кв. „Крайморие“, включително неговото землище в обхвата на Зона А и Зона Б по смисъла на ЗУЧК;</w:t>
      </w:r>
    </w:p>
    <w:p w:rsidR="007364FB" w:rsidRPr="007131EC" w:rsidRDefault="00890701" w:rsidP="007131EC">
      <w:pPr>
        <w:pStyle w:val="ListParagraph"/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7131EC">
        <w:rPr>
          <w:rFonts w:cs="Times New Roman"/>
        </w:rPr>
        <w:t>Приморски парк;</w:t>
      </w:r>
    </w:p>
    <w:p w:rsidR="007364FB" w:rsidRPr="007131EC" w:rsidRDefault="00890701" w:rsidP="007131EC">
      <w:pPr>
        <w:pStyle w:val="ListParagraph"/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7131EC">
        <w:rPr>
          <w:rFonts w:cs="Times New Roman"/>
        </w:rPr>
        <w:t>Парк „Езеро“;</w:t>
      </w:r>
    </w:p>
    <w:p w:rsidR="00B4044B" w:rsidRPr="007131EC" w:rsidRDefault="00890701" w:rsidP="007131EC">
      <w:pPr>
        <w:pStyle w:val="ListParagraph"/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7131EC">
        <w:rPr>
          <w:rFonts w:cs="Times New Roman"/>
        </w:rPr>
        <w:t>Зона Изток (заключена между плаж Атанасовска коса и Атанасовско езеро);</w:t>
      </w:r>
    </w:p>
    <w:p w:rsidR="007364FB" w:rsidRPr="007131EC" w:rsidRDefault="00890701" w:rsidP="007131EC">
      <w:pPr>
        <w:pStyle w:val="ListParagraph"/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7131EC">
        <w:rPr>
          <w:rFonts w:cs="Times New Roman"/>
        </w:rPr>
        <w:t>Централна градска част заключена между бул. „Сан Стефано“, бул. „Демокрация“, ул. „Агоп Мелконян“, ул. „Княз Александър Батенберг“, площад „Царица Йоана“, бул. „Иван Вазов“ и ул. „Уилям Гладстон“;</w:t>
      </w:r>
    </w:p>
    <w:p w:rsidR="007364FB" w:rsidRPr="007131EC" w:rsidRDefault="00890701" w:rsidP="007131EC">
      <w:pPr>
        <w:spacing w:line="276" w:lineRule="auto"/>
        <w:ind w:left="927"/>
        <w:jc w:val="both"/>
        <w:rPr>
          <w:rFonts w:cs="Times New Roman"/>
        </w:rPr>
      </w:pPr>
      <w:r w:rsidRPr="007131EC">
        <w:rPr>
          <w:rFonts w:cs="Times New Roman"/>
        </w:rPr>
        <w:lastRenderedPageBreak/>
        <w:t xml:space="preserve">- ж.к. „Възраждане“ - територията заключена между ул. „Уилям Гладстон“, бул. </w:t>
      </w:r>
      <w:r w:rsidR="00B4044B" w:rsidRPr="007131EC">
        <w:rPr>
          <w:rFonts w:cs="Times New Roman"/>
        </w:rPr>
        <w:t xml:space="preserve">     </w:t>
      </w:r>
      <w:r w:rsidRPr="007131EC">
        <w:rPr>
          <w:rFonts w:cs="Times New Roman"/>
        </w:rPr>
        <w:t>„Сан Стефано“, бул. „Мария Луиза“ и бул. „Иван Вазов“;</w:t>
      </w:r>
    </w:p>
    <w:p w:rsidR="007364FB" w:rsidRPr="007131EC" w:rsidRDefault="00890701" w:rsidP="007131EC">
      <w:pPr>
        <w:spacing w:line="276" w:lineRule="auto"/>
        <w:ind w:left="219" w:firstLine="708"/>
        <w:jc w:val="both"/>
        <w:rPr>
          <w:rFonts w:cs="Times New Roman"/>
        </w:rPr>
      </w:pPr>
      <w:r w:rsidRPr="007131EC">
        <w:rPr>
          <w:rFonts w:cs="Times New Roman"/>
        </w:rPr>
        <w:t>- ж.к. “Братя Миладинови“;</w:t>
      </w:r>
    </w:p>
    <w:p w:rsidR="007364FB" w:rsidRPr="007131EC" w:rsidRDefault="00ED6AEB" w:rsidP="007131EC">
      <w:pPr>
        <w:spacing w:line="276" w:lineRule="auto"/>
        <w:ind w:left="219" w:firstLine="708"/>
        <w:jc w:val="both"/>
        <w:rPr>
          <w:rFonts w:cs="Times New Roman"/>
        </w:rPr>
      </w:pPr>
      <w:r w:rsidRPr="007131EC">
        <w:rPr>
          <w:rFonts w:cs="Times New Roman"/>
        </w:rPr>
        <w:t xml:space="preserve">- </w:t>
      </w:r>
      <w:r w:rsidR="00890701" w:rsidRPr="007131EC">
        <w:rPr>
          <w:rFonts w:cs="Times New Roman"/>
        </w:rPr>
        <w:t>ж.к. „Лазур“.</w:t>
      </w:r>
    </w:p>
    <w:p w:rsidR="00B4044B" w:rsidRPr="007131EC" w:rsidRDefault="00B4044B" w:rsidP="007131EC">
      <w:pPr>
        <w:spacing w:line="276" w:lineRule="auto"/>
        <w:ind w:left="219" w:firstLine="708"/>
        <w:jc w:val="both"/>
        <w:rPr>
          <w:rFonts w:cs="Times New Roman"/>
        </w:rPr>
      </w:pPr>
      <w:r w:rsidRPr="007131EC">
        <w:rPr>
          <w:rFonts w:cs="Times New Roman"/>
        </w:rPr>
        <w:t>- ж.к. „Славейков“</w:t>
      </w:r>
    </w:p>
    <w:p w:rsidR="00B4044B" w:rsidRPr="007131EC" w:rsidRDefault="00B4044B" w:rsidP="007131EC">
      <w:pPr>
        <w:spacing w:line="276" w:lineRule="auto"/>
        <w:ind w:left="219" w:firstLine="708"/>
        <w:jc w:val="both"/>
        <w:rPr>
          <w:rFonts w:cs="Times New Roman"/>
        </w:rPr>
      </w:pPr>
      <w:r w:rsidRPr="007131EC">
        <w:rPr>
          <w:rFonts w:cs="Times New Roman"/>
        </w:rPr>
        <w:t>- ж.к. „Изгрев“</w:t>
      </w:r>
    </w:p>
    <w:p w:rsidR="00B4044B" w:rsidRPr="007131EC" w:rsidRDefault="00B4044B" w:rsidP="007131EC">
      <w:pPr>
        <w:spacing w:line="276" w:lineRule="auto"/>
        <w:ind w:left="219" w:firstLine="708"/>
        <w:jc w:val="both"/>
        <w:rPr>
          <w:rFonts w:cs="Times New Roman"/>
        </w:rPr>
      </w:pPr>
      <w:r w:rsidRPr="007131EC">
        <w:rPr>
          <w:rFonts w:cs="Times New Roman"/>
        </w:rPr>
        <w:t>- ж.к. „Зорница“</w:t>
      </w:r>
    </w:p>
    <w:p w:rsidR="00FC582F" w:rsidRPr="007131EC" w:rsidRDefault="00FC582F" w:rsidP="007131EC">
      <w:pPr>
        <w:spacing w:line="276" w:lineRule="auto"/>
        <w:ind w:firstLine="567"/>
        <w:jc w:val="both"/>
        <w:rPr>
          <w:rFonts w:cs="Times New Roman"/>
          <w:lang w:val="en-US"/>
        </w:rPr>
      </w:pPr>
    </w:p>
    <w:p w:rsidR="007364FB" w:rsidRPr="007131EC" w:rsidRDefault="00890701" w:rsidP="007131EC">
      <w:pPr>
        <w:pStyle w:val="ListParagraph"/>
        <w:numPr>
          <w:ilvl w:val="0"/>
          <w:numId w:val="2"/>
        </w:numPr>
        <w:tabs>
          <w:tab w:val="clear" w:pos="1134"/>
          <w:tab w:val="num" w:pos="993"/>
        </w:tabs>
        <w:spacing w:line="276" w:lineRule="auto"/>
        <w:ind w:left="0" w:firstLine="705"/>
        <w:jc w:val="both"/>
        <w:rPr>
          <w:rFonts w:cs="Times New Roman"/>
        </w:rPr>
      </w:pPr>
      <w:r w:rsidRPr="007131EC">
        <w:rPr>
          <w:rFonts w:cs="Times New Roman"/>
        </w:rPr>
        <w:t>Забраната в определените в т.</w:t>
      </w:r>
      <w:r w:rsidRPr="007131EC">
        <w:rPr>
          <w:rFonts w:cs="Times New Roman"/>
          <w:lang w:val="en-US"/>
        </w:rPr>
        <w:t>I</w:t>
      </w:r>
      <w:r w:rsidR="00B4044B" w:rsidRPr="007131EC">
        <w:rPr>
          <w:rFonts w:cs="Times New Roman"/>
        </w:rPr>
        <w:t>, 1</w:t>
      </w:r>
      <w:r w:rsidRPr="007131EC">
        <w:rPr>
          <w:rFonts w:cs="Times New Roman"/>
        </w:rPr>
        <w:t xml:space="preserve"> територии не се отнася за строителството на линейните обекти на техническата инфраструктура, обекти с национално значение, обекти с регионално значение и обекти, финансирани по оперативни програми със средства на Европейския съюз и с бюджетни средства от Община Бургас и държавата.</w:t>
      </w:r>
    </w:p>
    <w:p w:rsidR="00FC582F" w:rsidRPr="007131EC" w:rsidRDefault="00FC582F" w:rsidP="007131EC">
      <w:pPr>
        <w:pStyle w:val="ListParagraph"/>
        <w:spacing w:line="276" w:lineRule="auto"/>
        <w:ind w:left="705"/>
        <w:jc w:val="both"/>
        <w:rPr>
          <w:rFonts w:cs="Times New Roman"/>
        </w:rPr>
      </w:pPr>
    </w:p>
    <w:p w:rsidR="007364FB" w:rsidRPr="007131EC" w:rsidRDefault="00890701" w:rsidP="007131EC">
      <w:pPr>
        <w:spacing w:line="276" w:lineRule="auto"/>
        <w:ind w:firstLine="567"/>
        <w:jc w:val="both"/>
        <w:rPr>
          <w:rFonts w:cs="Times New Roman"/>
        </w:rPr>
      </w:pPr>
      <w:r w:rsidRPr="007131EC">
        <w:rPr>
          <w:rFonts w:cs="Times New Roman"/>
          <w:lang w:val="en-US"/>
        </w:rPr>
        <w:t>III</w:t>
      </w:r>
      <w:r w:rsidRPr="007131EC">
        <w:rPr>
          <w:rFonts w:cs="Times New Roman"/>
        </w:rPr>
        <w:t>. На основание чл.15, ал.4 от ЗУЧК, строителни и монтажни работи в определените в т.</w:t>
      </w:r>
      <w:r w:rsidRPr="007131EC">
        <w:rPr>
          <w:rFonts w:cs="Times New Roman"/>
          <w:lang w:val="en-US"/>
        </w:rPr>
        <w:t>I</w:t>
      </w:r>
      <w:r w:rsidRPr="007131EC">
        <w:rPr>
          <w:rFonts w:cs="Times New Roman"/>
        </w:rPr>
        <w:t>, 1 и 2 територии и периоди се допускат само за неотложни аварийно-ремонтни работи и геозащитни мерки и дейности.</w:t>
      </w:r>
    </w:p>
    <w:p w:rsidR="007364FB" w:rsidRPr="007131EC" w:rsidRDefault="007364FB" w:rsidP="007131EC">
      <w:pPr>
        <w:spacing w:line="276" w:lineRule="auto"/>
        <w:ind w:firstLine="567"/>
        <w:jc w:val="both"/>
        <w:rPr>
          <w:rFonts w:cs="Times New Roman"/>
        </w:rPr>
      </w:pPr>
    </w:p>
    <w:p w:rsidR="007364FB" w:rsidRPr="007131EC" w:rsidRDefault="00890701" w:rsidP="007131EC">
      <w:pPr>
        <w:spacing w:line="276" w:lineRule="auto"/>
        <w:ind w:firstLine="567"/>
        <w:jc w:val="both"/>
        <w:rPr>
          <w:rFonts w:cs="Times New Roman"/>
        </w:rPr>
      </w:pPr>
      <w:r w:rsidRPr="007131EC">
        <w:rPr>
          <w:rFonts w:cs="Times New Roman"/>
          <w:lang w:val="en-US"/>
        </w:rPr>
        <w:t>IV.</w:t>
      </w:r>
      <w:r w:rsidRPr="007131EC">
        <w:rPr>
          <w:rFonts w:cs="Times New Roman"/>
        </w:rPr>
        <w:t xml:space="preserve"> На основание чл.15, ал.2 от ЗУЧК, решението да се публикува на официалната интернет страницата на Община Бургас.</w:t>
      </w:r>
    </w:p>
    <w:p w:rsidR="007364FB" w:rsidRPr="007131EC" w:rsidRDefault="007364FB" w:rsidP="007131EC">
      <w:pPr>
        <w:spacing w:line="276" w:lineRule="auto"/>
        <w:jc w:val="both"/>
        <w:rPr>
          <w:rFonts w:cs="Times New Roman"/>
          <w:b/>
          <w:bCs/>
          <w:caps/>
        </w:rPr>
      </w:pPr>
    </w:p>
    <w:p w:rsidR="007364FB" w:rsidRPr="007131EC" w:rsidRDefault="007364FB" w:rsidP="007131EC">
      <w:pPr>
        <w:spacing w:line="276" w:lineRule="auto"/>
        <w:jc w:val="both"/>
        <w:rPr>
          <w:rFonts w:cs="Times New Roman"/>
          <w:b/>
          <w:bCs/>
          <w:caps/>
        </w:rPr>
      </w:pPr>
    </w:p>
    <w:p w:rsidR="007364FB" w:rsidRPr="007131EC" w:rsidRDefault="00890701" w:rsidP="007131EC">
      <w:pPr>
        <w:spacing w:line="276" w:lineRule="auto"/>
        <w:ind w:firstLine="567"/>
        <w:jc w:val="both"/>
        <w:rPr>
          <w:rFonts w:cs="Times New Roman"/>
        </w:rPr>
      </w:pPr>
      <w:r w:rsidRPr="007131EC">
        <w:rPr>
          <w:rFonts w:cs="Times New Roman"/>
          <w:b/>
          <w:bCs/>
          <w:caps/>
        </w:rPr>
        <w:t xml:space="preserve">Приложения: </w:t>
      </w:r>
      <w:r w:rsidRPr="007131EC">
        <w:rPr>
          <w:rFonts w:cs="Times New Roman"/>
        </w:rPr>
        <w:t>1. Писмо рег. №08-00-134/10.10.2011г. на Министерството на здравеопазването; Схема с посочените отделни зони в обхвата на забраната.</w:t>
      </w:r>
    </w:p>
    <w:p w:rsidR="007364FB" w:rsidRPr="007131EC" w:rsidRDefault="007364FB" w:rsidP="007131EC">
      <w:pPr>
        <w:spacing w:line="276" w:lineRule="auto"/>
        <w:jc w:val="both"/>
        <w:rPr>
          <w:rFonts w:cs="Times New Roman"/>
          <w:b/>
          <w:bCs/>
          <w:caps/>
        </w:rPr>
      </w:pPr>
    </w:p>
    <w:p w:rsidR="007364FB" w:rsidRPr="007131EC" w:rsidRDefault="007364FB" w:rsidP="007131EC">
      <w:pPr>
        <w:spacing w:line="276" w:lineRule="auto"/>
        <w:jc w:val="both"/>
        <w:rPr>
          <w:rFonts w:cs="Times New Roman"/>
          <w:b/>
          <w:bCs/>
          <w:caps/>
        </w:rPr>
      </w:pPr>
    </w:p>
    <w:p w:rsidR="007364FB" w:rsidRPr="007131EC" w:rsidRDefault="007364FB" w:rsidP="007131EC">
      <w:pPr>
        <w:spacing w:line="276" w:lineRule="auto"/>
        <w:jc w:val="both"/>
        <w:rPr>
          <w:rFonts w:cs="Times New Roman"/>
          <w:b/>
          <w:bCs/>
          <w:caps/>
        </w:rPr>
      </w:pPr>
    </w:p>
    <w:p w:rsidR="007364FB" w:rsidRPr="007131EC" w:rsidRDefault="00890701" w:rsidP="007131EC">
      <w:pPr>
        <w:spacing w:line="276" w:lineRule="auto"/>
        <w:jc w:val="both"/>
        <w:rPr>
          <w:rFonts w:cs="Times New Roman"/>
        </w:rPr>
      </w:pPr>
      <w:r w:rsidRPr="007131EC">
        <w:rPr>
          <w:rFonts w:cs="Times New Roman"/>
          <w:b/>
          <w:bCs/>
          <w:caps/>
        </w:rPr>
        <w:t xml:space="preserve">С </w:t>
      </w:r>
      <w:r w:rsidRPr="007131EC">
        <w:rPr>
          <w:rFonts w:cs="Times New Roman"/>
          <w:b/>
          <w:bCs/>
        </w:rPr>
        <w:t>уважение,</w:t>
      </w:r>
    </w:p>
    <w:p w:rsidR="007364FB" w:rsidRPr="007131EC" w:rsidRDefault="007364FB" w:rsidP="007131EC">
      <w:pPr>
        <w:spacing w:line="276" w:lineRule="auto"/>
        <w:jc w:val="both"/>
        <w:rPr>
          <w:rFonts w:cs="Times New Roman"/>
          <w:b/>
          <w:bCs/>
        </w:rPr>
      </w:pPr>
    </w:p>
    <w:p w:rsidR="007364FB" w:rsidRPr="007131EC" w:rsidRDefault="00890701" w:rsidP="007131EC">
      <w:pPr>
        <w:spacing w:line="276" w:lineRule="auto"/>
        <w:rPr>
          <w:rFonts w:cs="Times New Roman"/>
          <w:b/>
          <w:bCs/>
        </w:rPr>
      </w:pPr>
      <w:r w:rsidRPr="007131EC">
        <w:rPr>
          <w:rFonts w:cs="Times New Roman"/>
          <w:b/>
          <w:bCs/>
        </w:rPr>
        <w:t>ИНЖ. ЧАНКА КОРАЛСКА</w:t>
      </w:r>
    </w:p>
    <w:p w:rsidR="007364FB" w:rsidRPr="007131EC" w:rsidRDefault="00890701" w:rsidP="007131EC">
      <w:pPr>
        <w:spacing w:line="276" w:lineRule="auto"/>
        <w:rPr>
          <w:rFonts w:cs="Times New Roman"/>
          <w:i/>
          <w:iCs/>
        </w:rPr>
      </w:pPr>
      <w:r w:rsidRPr="007131EC">
        <w:rPr>
          <w:rFonts w:cs="Times New Roman"/>
          <w:i/>
          <w:iCs/>
        </w:rPr>
        <w:t>Зам.-кмет по</w:t>
      </w:r>
      <w:r w:rsidRPr="007131EC">
        <w:rPr>
          <w:rFonts w:cs="Times New Roman"/>
          <w:b/>
          <w:bCs/>
          <w:lang w:val="en-US"/>
        </w:rPr>
        <w:t xml:space="preserve"> </w:t>
      </w:r>
      <w:r w:rsidRPr="007131EC">
        <w:rPr>
          <w:rFonts w:cs="Times New Roman"/>
          <w:i/>
          <w:iCs/>
        </w:rPr>
        <w:t>„Строителство, инвестиции</w:t>
      </w:r>
    </w:p>
    <w:p w:rsidR="007364FB" w:rsidRPr="007131EC" w:rsidRDefault="00890701" w:rsidP="007131EC">
      <w:pPr>
        <w:spacing w:line="276" w:lineRule="auto"/>
        <w:rPr>
          <w:rFonts w:cs="Times New Roman"/>
          <w:i/>
          <w:iCs/>
        </w:rPr>
      </w:pPr>
      <w:r w:rsidRPr="007131EC">
        <w:rPr>
          <w:rFonts w:cs="Times New Roman"/>
          <w:i/>
          <w:iCs/>
        </w:rPr>
        <w:t>и регионално развитие“</w:t>
      </w:r>
      <w:r w:rsidRPr="007131EC">
        <w:rPr>
          <w:rFonts w:cs="Times New Roman"/>
        </w:rPr>
        <w:t xml:space="preserve"> </w:t>
      </w:r>
      <w:r w:rsidRPr="007131EC">
        <w:rPr>
          <w:rFonts w:cs="Times New Roman"/>
          <w:i/>
          <w:iCs/>
        </w:rPr>
        <w:t>на</w:t>
      </w:r>
      <w:r w:rsidRPr="007131EC">
        <w:rPr>
          <w:rFonts w:cs="Times New Roman"/>
        </w:rPr>
        <w:t xml:space="preserve"> </w:t>
      </w:r>
      <w:r w:rsidRPr="007131EC">
        <w:rPr>
          <w:rFonts w:cs="Times New Roman"/>
          <w:i/>
          <w:iCs/>
        </w:rPr>
        <w:t>Община Бургас</w:t>
      </w:r>
    </w:p>
    <w:p w:rsidR="0047652C" w:rsidRPr="007131EC" w:rsidRDefault="0047652C" w:rsidP="007131EC">
      <w:pPr>
        <w:spacing w:line="276" w:lineRule="auto"/>
        <w:rPr>
          <w:rFonts w:cs="Times New Roman"/>
        </w:rPr>
      </w:pPr>
    </w:p>
    <w:p w:rsidR="007364FB" w:rsidRDefault="007364FB">
      <w:pPr>
        <w:ind w:right="343"/>
        <w:jc w:val="both"/>
        <w:rPr>
          <w:i/>
          <w:iCs/>
        </w:rPr>
      </w:pPr>
      <w:bookmarkStart w:id="0" w:name="_GoBack"/>
      <w:bookmarkEnd w:id="0"/>
    </w:p>
    <w:p w:rsidR="007364FB" w:rsidRDefault="007364FB">
      <w:pPr>
        <w:pStyle w:val="ListParagraph"/>
        <w:tabs>
          <w:tab w:val="left" w:pos="360"/>
        </w:tabs>
        <w:ind w:left="0"/>
        <w:jc w:val="both"/>
        <w:rPr>
          <w:color w:val="FF0000"/>
          <w:u w:color="FF0000"/>
        </w:rPr>
      </w:pPr>
    </w:p>
    <w:p w:rsidR="007364FB" w:rsidRDefault="007364FB">
      <w:pPr>
        <w:ind w:right="1" w:firstLine="708"/>
        <w:jc w:val="both"/>
      </w:pPr>
    </w:p>
    <w:sectPr w:rsidR="007364FB" w:rsidSect="007131EC">
      <w:pgSz w:w="11900" w:h="16840"/>
      <w:pgMar w:top="851" w:right="1133" w:bottom="1134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853" w:rsidRDefault="006E4853">
      <w:r>
        <w:separator/>
      </w:r>
    </w:p>
  </w:endnote>
  <w:endnote w:type="continuationSeparator" w:id="0">
    <w:p w:rsidR="006E4853" w:rsidRDefault="006E4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853" w:rsidRDefault="006E4853">
      <w:r>
        <w:separator/>
      </w:r>
    </w:p>
  </w:footnote>
  <w:footnote w:type="continuationSeparator" w:id="0">
    <w:p w:rsidR="006E4853" w:rsidRDefault="006E4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4CBC"/>
    <w:multiLevelType w:val="hybridMultilevel"/>
    <w:tmpl w:val="3D3A4786"/>
    <w:styleLink w:val="ImportedStyle2"/>
    <w:lvl w:ilvl="0" w:tplc="71343E48">
      <w:start w:val="1"/>
      <w:numFmt w:val="decimal"/>
      <w:lvlText w:val="%1."/>
      <w:lvlJc w:val="left"/>
      <w:pPr>
        <w:ind w:left="9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9AAFEA">
      <w:start w:val="1"/>
      <w:numFmt w:val="lowerLetter"/>
      <w:suff w:val="nothing"/>
      <w:lvlText w:val="%2."/>
      <w:lvlJc w:val="left"/>
      <w:pPr>
        <w:tabs>
          <w:tab w:val="left" w:pos="993"/>
        </w:tabs>
        <w:ind w:left="1416" w:hanging="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929AF2">
      <w:start w:val="1"/>
      <w:numFmt w:val="lowerRoman"/>
      <w:lvlText w:val="%3."/>
      <w:lvlJc w:val="left"/>
      <w:pPr>
        <w:tabs>
          <w:tab w:val="left" w:pos="993"/>
        </w:tabs>
        <w:ind w:left="2367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605262">
      <w:start w:val="1"/>
      <w:numFmt w:val="decimal"/>
      <w:lvlText w:val="%4."/>
      <w:lvlJc w:val="left"/>
      <w:pPr>
        <w:tabs>
          <w:tab w:val="left" w:pos="993"/>
        </w:tabs>
        <w:ind w:left="3087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182F60">
      <w:start w:val="1"/>
      <w:numFmt w:val="lowerLetter"/>
      <w:lvlText w:val="%5."/>
      <w:lvlJc w:val="left"/>
      <w:pPr>
        <w:tabs>
          <w:tab w:val="left" w:pos="993"/>
        </w:tabs>
        <w:ind w:left="3807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228E52">
      <w:start w:val="1"/>
      <w:numFmt w:val="lowerRoman"/>
      <w:lvlText w:val="%6."/>
      <w:lvlJc w:val="left"/>
      <w:pPr>
        <w:tabs>
          <w:tab w:val="left" w:pos="993"/>
        </w:tabs>
        <w:ind w:left="4527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ACCF04">
      <w:start w:val="1"/>
      <w:numFmt w:val="decimal"/>
      <w:lvlText w:val="%7."/>
      <w:lvlJc w:val="left"/>
      <w:pPr>
        <w:tabs>
          <w:tab w:val="left" w:pos="993"/>
        </w:tabs>
        <w:ind w:left="5247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6CA26A">
      <w:start w:val="1"/>
      <w:numFmt w:val="lowerLetter"/>
      <w:lvlText w:val="%8."/>
      <w:lvlJc w:val="left"/>
      <w:pPr>
        <w:tabs>
          <w:tab w:val="left" w:pos="993"/>
        </w:tabs>
        <w:ind w:left="5967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06F2F4">
      <w:start w:val="1"/>
      <w:numFmt w:val="lowerRoman"/>
      <w:lvlText w:val="%9."/>
      <w:lvlJc w:val="left"/>
      <w:pPr>
        <w:tabs>
          <w:tab w:val="left" w:pos="993"/>
        </w:tabs>
        <w:ind w:left="6687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8B4236"/>
    <w:multiLevelType w:val="hybridMultilevel"/>
    <w:tmpl w:val="6944C0A0"/>
    <w:numStyleLink w:val="ImportedStyle3"/>
  </w:abstractNum>
  <w:abstractNum w:abstractNumId="2" w15:restartNumberingAfterBreak="0">
    <w:nsid w:val="32F75E79"/>
    <w:multiLevelType w:val="hybridMultilevel"/>
    <w:tmpl w:val="3D3A4786"/>
    <w:numStyleLink w:val="ImportedStyle2"/>
  </w:abstractNum>
  <w:abstractNum w:abstractNumId="3" w15:restartNumberingAfterBreak="0">
    <w:nsid w:val="4BDB67FD"/>
    <w:multiLevelType w:val="hybridMultilevel"/>
    <w:tmpl w:val="6944C0A0"/>
    <w:styleLink w:val="ImportedStyle3"/>
    <w:lvl w:ilvl="0" w:tplc="5DB0C462">
      <w:start w:val="1"/>
      <w:numFmt w:val="bullet"/>
      <w:lvlText w:val="-"/>
      <w:lvlJc w:val="left"/>
      <w:pPr>
        <w:tabs>
          <w:tab w:val="left" w:pos="993"/>
        </w:tabs>
        <w:ind w:left="128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E4340C">
      <w:start w:val="1"/>
      <w:numFmt w:val="bullet"/>
      <w:lvlText w:val="o"/>
      <w:lvlJc w:val="left"/>
      <w:pPr>
        <w:tabs>
          <w:tab w:val="left" w:pos="993"/>
        </w:tabs>
        <w:ind w:left="200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BAC536">
      <w:start w:val="1"/>
      <w:numFmt w:val="bullet"/>
      <w:lvlText w:val="▪"/>
      <w:lvlJc w:val="left"/>
      <w:pPr>
        <w:tabs>
          <w:tab w:val="left" w:pos="993"/>
        </w:tabs>
        <w:ind w:left="272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48EE82">
      <w:start w:val="1"/>
      <w:numFmt w:val="bullet"/>
      <w:lvlText w:val="•"/>
      <w:lvlJc w:val="left"/>
      <w:pPr>
        <w:tabs>
          <w:tab w:val="left" w:pos="993"/>
        </w:tabs>
        <w:ind w:left="344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69690">
      <w:start w:val="1"/>
      <w:numFmt w:val="bullet"/>
      <w:lvlText w:val="o"/>
      <w:lvlJc w:val="left"/>
      <w:pPr>
        <w:tabs>
          <w:tab w:val="left" w:pos="993"/>
        </w:tabs>
        <w:ind w:left="416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B4C9AE">
      <w:start w:val="1"/>
      <w:numFmt w:val="bullet"/>
      <w:lvlText w:val="▪"/>
      <w:lvlJc w:val="left"/>
      <w:pPr>
        <w:tabs>
          <w:tab w:val="left" w:pos="993"/>
        </w:tabs>
        <w:ind w:left="488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42E55A">
      <w:start w:val="1"/>
      <w:numFmt w:val="bullet"/>
      <w:lvlText w:val="•"/>
      <w:lvlJc w:val="left"/>
      <w:pPr>
        <w:tabs>
          <w:tab w:val="left" w:pos="993"/>
        </w:tabs>
        <w:ind w:left="560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AEAA38">
      <w:start w:val="1"/>
      <w:numFmt w:val="bullet"/>
      <w:lvlText w:val="o"/>
      <w:lvlJc w:val="left"/>
      <w:pPr>
        <w:tabs>
          <w:tab w:val="left" w:pos="993"/>
        </w:tabs>
        <w:ind w:left="632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1EF5F2">
      <w:start w:val="1"/>
      <w:numFmt w:val="bullet"/>
      <w:lvlText w:val="▪"/>
      <w:lvlJc w:val="left"/>
      <w:pPr>
        <w:tabs>
          <w:tab w:val="left" w:pos="993"/>
        </w:tabs>
        <w:ind w:left="704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8A20504"/>
    <w:multiLevelType w:val="hybridMultilevel"/>
    <w:tmpl w:val="1DD60118"/>
    <w:styleLink w:val="ImportedStyle1"/>
    <w:lvl w:ilvl="0" w:tplc="65A4A606">
      <w:start w:val="1"/>
      <w:numFmt w:val="upperRoman"/>
      <w:lvlText w:val="%1."/>
      <w:lvlJc w:val="left"/>
      <w:pPr>
        <w:tabs>
          <w:tab w:val="num" w:pos="1134"/>
        </w:tabs>
        <w:ind w:left="429" w:firstLine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24472E">
      <w:start w:val="1"/>
      <w:numFmt w:val="lowerLetter"/>
      <w:lvlText w:val="%2."/>
      <w:lvlJc w:val="left"/>
      <w:pPr>
        <w:tabs>
          <w:tab w:val="num" w:pos="1404"/>
        </w:tabs>
        <w:ind w:left="699" w:firstLine="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12FF5A">
      <w:start w:val="1"/>
      <w:numFmt w:val="lowerRoman"/>
      <w:lvlText w:val="%3."/>
      <w:lvlJc w:val="left"/>
      <w:pPr>
        <w:tabs>
          <w:tab w:val="left" w:pos="1134"/>
          <w:tab w:val="num" w:pos="1785"/>
        </w:tabs>
        <w:ind w:left="1080" w:firstLine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7C2252">
      <w:start w:val="1"/>
      <w:numFmt w:val="decimal"/>
      <w:lvlText w:val="%4."/>
      <w:lvlJc w:val="left"/>
      <w:pPr>
        <w:tabs>
          <w:tab w:val="left" w:pos="1134"/>
          <w:tab w:val="num" w:pos="2505"/>
        </w:tabs>
        <w:ind w:left="1800" w:firstLine="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6AA7E2">
      <w:start w:val="1"/>
      <w:numFmt w:val="lowerLetter"/>
      <w:lvlText w:val="%5."/>
      <w:lvlJc w:val="left"/>
      <w:pPr>
        <w:tabs>
          <w:tab w:val="left" w:pos="1134"/>
          <w:tab w:val="num" w:pos="3225"/>
        </w:tabs>
        <w:ind w:left="2520" w:firstLine="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20BC60">
      <w:start w:val="1"/>
      <w:numFmt w:val="lowerRoman"/>
      <w:lvlText w:val="%6."/>
      <w:lvlJc w:val="left"/>
      <w:pPr>
        <w:tabs>
          <w:tab w:val="left" w:pos="1134"/>
          <w:tab w:val="num" w:pos="3945"/>
        </w:tabs>
        <w:ind w:left="3240" w:firstLine="1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6EE460">
      <w:start w:val="1"/>
      <w:numFmt w:val="decimal"/>
      <w:lvlText w:val="%7."/>
      <w:lvlJc w:val="left"/>
      <w:pPr>
        <w:tabs>
          <w:tab w:val="left" w:pos="1134"/>
          <w:tab w:val="num" w:pos="4665"/>
        </w:tabs>
        <w:ind w:left="396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822370">
      <w:start w:val="1"/>
      <w:numFmt w:val="lowerLetter"/>
      <w:lvlText w:val="%8."/>
      <w:lvlJc w:val="left"/>
      <w:pPr>
        <w:tabs>
          <w:tab w:val="left" w:pos="1134"/>
          <w:tab w:val="num" w:pos="5385"/>
        </w:tabs>
        <w:ind w:left="4680" w:firstLine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C6B58C">
      <w:start w:val="1"/>
      <w:numFmt w:val="lowerRoman"/>
      <w:lvlText w:val="%9."/>
      <w:lvlJc w:val="left"/>
      <w:pPr>
        <w:tabs>
          <w:tab w:val="left" w:pos="1134"/>
          <w:tab w:val="num" w:pos="6105"/>
        </w:tabs>
        <w:ind w:left="5400" w:firstLine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FE77205"/>
    <w:multiLevelType w:val="hybridMultilevel"/>
    <w:tmpl w:val="1DD60118"/>
    <w:numStyleLink w:val="ImportedStyle1"/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1"/>
    <w:lvlOverride w:ilvl="0">
      <w:lvl w:ilvl="0" w:tplc="D61A3A7E">
        <w:start w:val="1"/>
        <w:numFmt w:val="bullet"/>
        <w:lvlText w:val="-"/>
        <w:lvlJc w:val="left"/>
        <w:pPr>
          <w:tabs>
            <w:tab w:val="num" w:pos="1854"/>
          </w:tabs>
          <w:ind w:left="1287" w:firstLine="20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4CA562">
        <w:start w:val="1"/>
        <w:numFmt w:val="bullet"/>
        <w:lvlText w:val="o"/>
        <w:lvlJc w:val="left"/>
        <w:pPr>
          <w:tabs>
            <w:tab w:val="num" w:pos="2574"/>
          </w:tabs>
          <w:ind w:left="2007" w:firstLine="20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5F476BE">
        <w:start w:val="1"/>
        <w:numFmt w:val="bullet"/>
        <w:lvlText w:val="▪"/>
        <w:lvlJc w:val="left"/>
        <w:pPr>
          <w:tabs>
            <w:tab w:val="num" w:pos="3294"/>
          </w:tabs>
          <w:ind w:left="2727" w:firstLine="20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FA8E8FE">
        <w:start w:val="1"/>
        <w:numFmt w:val="bullet"/>
        <w:lvlText w:val="•"/>
        <w:lvlJc w:val="left"/>
        <w:pPr>
          <w:tabs>
            <w:tab w:val="num" w:pos="4014"/>
          </w:tabs>
          <w:ind w:left="3447" w:firstLine="20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56C5AA">
        <w:start w:val="1"/>
        <w:numFmt w:val="bullet"/>
        <w:lvlText w:val="o"/>
        <w:lvlJc w:val="left"/>
        <w:pPr>
          <w:tabs>
            <w:tab w:val="num" w:pos="4734"/>
          </w:tabs>
          <w:ind w:left="4167" w:firstLine="20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4E19D2">
        <w:start w:val="1"/>
        <w:numFmt w:val="bullet"/>
        <w:lvlText w:val="▪"/>
        <w:lvlJc w:val="left"/>
        <w:pPr>
          <w:tabs>
            <w:tab w:val="num" w:pos="5454"/>
          </w:tabs>
          <w:ind w:left="4887" w:firstLine="20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1121F76">
        <w:start w:val="1"/>
        <w:numFmt w:val="bullet"/>
        <w:lvlText w:val="•"/>
        <w:lvlJc w:val="left"/>
        <w:pPr>
          <w:tabs>
            <w:tab w:val="num" w:pos="6174"/>
          </w:tabs>
          <w:ind w:left="5607" w:firstLine="20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08EEC60">
        <w:start w:val="1"/>
        <w:numFmt w:val="bullet"/>
        <w:lvlText w:val="o"/>
        <w:lvlJc w:val="left"/>
        <w:pPr>
          <w:tabs>
            <w:tab w:val="num" w:pos="6894"/>
          </w:tabs>
          <w:ind w:left="6327" w:firstLine="20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C44982">
        <w:start w:val="1"/>
        <w:numFmt w:val="bullet"/>
        <w:lvlText w:val="▪"/>
        <w:lvlJc w:val="left"/>
        <w:pPr>
          <w:tabs>
            <w:tab w:val="num" w:pos="7614"/>
          </w:tabs>
          <w:ind w:left="7047" w:firstLine="20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4FB"/>
    <w:rsid w:val="000A0B7E"/>
    <w:rsid w:val="001A72AD"/>
    <w:rsid w:val="002D7DA2"/>
    <w:rsid w:val="003F2FCA"/>
    <w:rsid w:val="0047652C"/>
    <w:rsid w:val="00482C4B"/>
    <w:rsid w:val="0051405A"/>
    <w:rsid w:val="00623DA1"/>
    <w:rsid w:val="00682B22"/>
    <w:rsid w:val="006E4853"/>
    <w:rsid w:val="007131EC"/>
    <w:rsid w:val="007364FB"/>
    <w:rsid w:val="0079119D"/>
    <w:rsid w:val="00890701"/>
    <w:rsid w:val="009A3CC3"/>
    <w:rsid w:val="00A170F1"/>
    <w:rsid w:val="00B4044B"/>
    <w:rsid w:val="00B672ED"/>
    <w:rsid w:val="00D262C1"/>
    <w:rsid w:val="00D375A6"/>
    <w:rsid w:val="00E32B4E"/>
    <w:rsid w:val="00ED6AEB"/>
    <w:rsid w:val="00F55A63"/>
    <w:rsid w:val="00F656F2"/>
    <w:rsid w:val="00FC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07D9C"/>
  <w15:docId w15:val="{A92FD124-D4E5-4C94-A1B8-CADA847F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1">
    <w:name w:val="heading 1"/>
    <w:next w:val="Normal"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entury Gothic" w:eastAsia="Century Gothic" w:hAnsi="Century Gothic" w:cs="Century Gothic"/>
      <w:outline w:val="0"/>
      <w:color w:val="0000FF"/>
      <w:sz w:val="16"/>
      <w:szCs w:val="16"/>
      <w:u w:val="single" w:color="0000FF"/>
      <w:lang w:val="en-US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8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82F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6C114-54AC-4A81-9F24-0E4FD779E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Petrakieva</dc:creator>
  <cp:lastModifiedBy>Windows User</cp:lastModifiedBy>
  <cp:revision>3</cp:revision>
  <cp:lastPrinted>2026-10-16T07:08:00Z</cp:lastPrinted>
  <dcterms:created xsi:type="dcterms:W3CDTF">2026-10-16T10:59:00Z</dcterms:created>
  <dcterms:modified xsi:type="dcterms:W3CDTF">2026-10-16T11:10:00Z</dcterms:modified>
</cp:coreProperties>
</file>